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2DB2" w14:textId="77777777" w:rsidR="00235146" w:rsidRDefault="00235146" w:rsidP="00A52138">
      <w:pPr>
        <w:spacing w:after="0" w:line="240" w:lineRule="auto"/>
        <w:rPr>
          <w:b/>
          <w:sz w:val="24"/>
          <w:szCs w:val="24"/>
        </w:rPr>
      </w:pPr>
      <w:r w:rsidRPr="00515867">
        <w:rPr>
          <w:b/>
          <w:sz w:val="24"/>
          <w:szCs w:val="24"/>
        </w:rPr>
        <w:t xml:space="preserve">Report by the Director of </w:t>
      </w:r>
      <w:r>
        <w:rPr>
          <w:b/>
          <w:sz w:val="24"/>
          <w:szCs w:val="24"/>
        </w:rPr>
        <w:t xml:space="preserve">the </w:t>
      </w:r>
      <w:r w:rsidRPr="00515867">
        <w:rPr>
          <w:b/>
          <w:sz w:val="24"/>
          <w:szCs w:val="24"/>
        </w:rPr>
        <w:t>Department of Administration to the Legislature on</w:t>
      </w:r>
    </w:p>
    <w:p w14:paraId="3F00D4B7" w14:textId="4DBA5141" w:rsidR="00235146" w:rsidRDefault="00235146" w:rsidP="00A52138">
      <w:pPr>
        <w:spacing w:after="0" w:line="240" w:lineRule="auto"/>
        <w:rPr>
          <w:b/>
          <w:sz w:val="24"/>
          <w:szCs w:val="24"/>
        </w:rPr>
      </w:pPr>
      <w:r w:rsidRPr="00515867">
        <w:rPr>
          <w:b/>
          <w:sz w:val="24"/>
          <w:szCs w:val="24"/>
        </w:rPr>
        <w:t>Local Government Compliance with Title 17, Chapter 2, Part</w:t>
      </w:r>
      <w:r w:rsidR="00E70C16">
        <w:rPr>
          <w:b/>
          <w:sz w:val="24"/>
          <w:szCs w:val="24"/>
        </w:rPr>
        <w:t xml:space="preserve"> 3</w:t>
      </w:r>
      <w:r w:rsidRPr="00515867">
        <w:rPr>
          <w:b/>
          <w:sz w:val="24"/>
          <w:szCs w:val="24"/>
        </w:rPr>
        <w:t>, MCA, “State and Local Charges for Services – Limit on Fund Balance.”</w:t>
      </w:r>
    </w:p>
    <w:p w14:paraId="1DED3C29" w14:textId="77777777" w:rsidR="00A52138" w:rsidRDefault="00A52138" w:rsidP="00A52138">
      <w:pPr>
        <w:spacing w:after="0" w:line="240" w:lineRule="auto"/>
        <w:rPr>
          <w:b/>
          <w:sz w:val="24"/>
          <w:szCs w:val="24"/>
        </w:rPr>
      </w:pPr>
    </w:p>
    <w:p w14:paraId="3129B5E8" w14:textId="48EC4FB9" w:rsidR="00F05006" w:rsidRDefault="00666FE0" w:rsidP="00A52138">
      <w:pPr>
        <w:spacing w:after="0" w:line="240" w:lineRule="auto"/>
        <w:rPr>
          <w:b/>
          <w:sz w:val="24"/>
          <w:szCs w:val="24"/>
        </w:rPr>
      </w:pPr>
      <w:r w:rsidRPr="004C25E2">
        <w:rPr>
          <w:b/>
          <w:sz w:val="24"/>
          <w:szCs w:val="24"/>
        </w:rPr>
        <w:t xml:space="preserve">August </w:t>
      </w:r>
      <w:r w:rsidR="008E3833">
        <w:rPr>
          <w:b/>
          <w:sz w:val="24"/>
          <w:szCs w:val="24"/>
        </w:rPr>
        <w:t>2</w:t>
      </w:r>
      <w:r w:rsidR="008106C6">
        <w:rPr>
          <w:b/>
          <w:sz w:val="24"/>
          <w:szCs w:val="24"/>
        </w:rPr>
        <w:t>7</w:t>
      </w:r>
      <w:r w:rsidR="00A52138" w:rsidRPr="004C25E2">
        <w:rPr>
          <w:b/>
          <w:sz w:val="24"/>
          <w:szCs w:val="24"/>
        </w:rPr>
        <w:t>, 2</w:t>
      </w:r>
      <w:r w:rsidR="008D7A0E">
        <w:rPr>
          <w:b/>
          <w:sz w:val="24"/>
          <w:szCs w:val="24"/>
        </w:rPr>
        <w:t>02</w:t>
      </w:r>
      <w:r w:rsidR="00D90581">
        <w:rPr>
          <w:b/>
          <w:sz w:val="24"/>
          <w:szCs w:val="24"/>
        </w:rPr>
        <w:t>5</w:t>
      </w:r>
    </w:p>
    <w:p w14:paraId="283443EC" w14:textId="77777777" w:rsidR="00235146" w:rsidRDefault="00235146" w:rsidP="00A52138">
      <w:pPr>
        <w:spacing w:after="0" w:line="240" w:lineRule="auto"/>
        <w:rPr>
          <w:b/>
          <w:sz w:val="24"/>
          <w:szCs w:val="24"/>
        </w:rPr>
      </w:pPr>
    </w:p>
    <w:p w14:paraId="5C667E3C" w14:textId="5953ADE9" w:rsidR="00FB69DD" w:rsidRDefault="001902CD" w:rsidP="001902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§17-2-304(2)</w:t>
      </w:r>
      <w:r w:rsidR="0039639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96393">
        <w:rPr>
          <w:sz w:val="24"/>
          <w:szCs w:val="24"/>
        </w:rPr>
        <w:t xml:space="preserve">MCA, </w:t>
      </w:r>
      <w:r>
        <w:rPr>
          <w:sz w:val="24"/>
          <w:szCs w:val="24"/>
        </w:rPr>
        <w:t xml:space="preserve">requires that the Director of the Department of Administration shall report to the Legislature at the time and in the manner required by §5-11-210 a list of each local government entity that did not comply with the statutory provisions </w:t>
      </w:r>
      <w:r w:rsidR="00E17C92">
        <w:rPr>
          <w:sz w:val="24"/>
          <w:szCs w:val="24"/>
        </w:rPr>
        <w:t xml:space="preserve">of Title 17, Chapter 2 Part 3, MCA </w:t>
      </w:r>
      <w:r>
        <w:rPr>
          <w:sz w:val="24"/>
          <w:szCs w:val="24"/>
        </w:rPr>
        <w:t>, during the previous 12 months.</w:t>
      </w:r>
      <w:r w:rsidR="00E70C16">
        <w:rPr>
          <w:sz w:val="24"/>
          <w:szCs w:val="24"/>
        </w:rPr>
        <w:t xml:space="preserve">  §5-11-210</w:t>
      </w:r>
      <w:r w:rsidR="00FB69DD">
        <w:rPr>
          <w:sz w:val="24"/>
          <w:szCs w:val="24"/>
        </w:rPr>
        <w:t xml:space="preserve"> (1)</w:t>
      </w:r>
      <w:r w:rsidR="00E70C16">
        <w:rPr>
          <w:sz w:val="24"/>
          <w:szCs w:val="24"/>
        </w:rPr>
        <w:t xml:space="preserve"> requires that the report be submitted to </w:t>
      </w:r>
      <w:r w:rsidR="00FB69DD">
        <w:rPr>
          <w:sz w:val="24"/>
          <w:szCs w:val="24"/>
        </w:rPr>
        <w:t xml:space="preserve">the executive director of the legislative services division. </w:t>
      </w:r>
    </w:p>
    <w:p w14:paraId="781E88E0" w14:textId="5EEA3081" w:rsidR="001902CD" w:rsidRDefault="00FB69DD" w:rsidP="001902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§5-11-222 states that this report must be filed in accordance with §5-11-210 on or before </w:t>
      </w:r>
      <w:r w:rsidR="00E70C16">
        <w:rPr>
          <w:sz w:val="24"/>
          <w:szCs w:val="24"/>
        </w:rPr>
        <w:t>September 1.</w:t>
      </w:r>
    </w:p>
    <w:p w14:paraId="4675F8E7" w14:textId="77777777" w:rsidR="001902CD" w:rsidRDefault="001902CD" w:rsidP="00A52138">
      <w:pPr>
        <w:spacing w:after="0" w:line="240" w:lineRule="auto"/>
        <w:rPr>
          <w:sz w:val="24"/>
          <w:szCs w:val="24"/>
        </w:rPr>
      </w:pPr>
    </w:p>
    <w:p w14:paraId="36DA95C1" w14:textId="77777777" w:rsidR="00235146" w:rsidRDefault="00F05006" w:rsidP="00D94307">
      <w:pPr>
        <w:spacing w:after="0" w:line="24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§17-2-302(1</w:t>
      </w:r>
      <w:r w:rsidR="00396393">
        <w:rPr>
          <w:sz w:val="24"/>
          <w:szCs w:val="24"/>
        </w:rPr>
        <w:t>), MCA</w:t>
      </w:r>
      <w:r>
        <w:rPr>
          <w:sz w:val="24"/>
          <w:szCs w:val="24"/>
        </w:rPr>
        <w:t xml:space="preserve"> -</w:t>
      </w:r>
      <w:r w:rsidR="009D6CC9">
        <w:rPr>
          <w:sz w:val="24"/>
          <w:szCs w:val="24"/>
        </w:rPr>
        <w:t xml:space="preserve"> </w:t>
      </w:r>
      <w:r w:rsidR="00396393">
        <w:rPr>
          <w:sz w:val="24"/>
          <w:szCs w:val="24"/>
        </w:rPr>
        <w:t>…a</w:t>
      </w:r>
      <w:r w:rsidR="00235146">
        <w:rPr>
          <w:sz w:val="24"/>
          <w:szCs w:val="24"/>
        </w:rPr>
        <w:t xml:space="preserve"> local government entity that deposits money into a local charge for services fund may not maintain a cash balance in the fund greater than twice the annual appropriation for that year</w:t>
      </w:r>
      <w:r w:rsidR="00396393">
        <w:rPr>
          <w:sz w:val="24"/>
          <w:szCs w:val="24"/>
        </w:rPr>
        <w:t>…</w:t>
      </w:r>
    </w:p>
    <w:p w14:paraId="7AAFCCCD" w14:textId="77777777" w:rsidR="00235146" w:rsidRDefault="00F05006" w:rsidP="00D94307">
      <w:pPr>
        <w:spacing w:after="0" w:line="24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>§17-2-303</w:t>
      </w:r>
      <w:r w:rsidR="00396393">
        <w:rPr>
          <w:sz w:val="24"/>
          <w:szCs w:val="24"/>
        </w:rPr>
        <w:t>, MCA</w:t>
      </w:r>
      <w:r>
        <w:rPr>
          <w:sz w:val="24"/>
          <w:szCs w:val="24"/>
        </w:rPr>
        <w:t xml:space="preserve"> - </w:t>
      </w:r>
      <w:r w:rsidR="00396393">
        <w:rPr>
          <w:sz w:val="24"/>
          <w:szCs w:val="24"/>
        </w:rPr>
        <w:t>…a</w:t>
      </w:r>
      <w:r w:rsidR="00235146" w:rsidRPr="00235146">
        <w:rPr>
          <w:sz w:val="24"/>
          <w:szCs w:val="24"/>
        </w:rPr>
        <w:t xml:space="preserve"> local government entity that maintains a cash balance in a local charge for services fund contrary to </w:t>
      </w:r>
      <w:r w:rsidR="00396393">
        <w:rPr>
          <w:sz w:val="24"/>
          <w:szCs w:val="24"/>
        </w:rPr>
        <w:t>the</w:t>
      </w:r>
      <w:r w:rsidR="00235146" w:rsidRPr="00235146">
        <w:rPr>
          <w:sz w:val="24"/>
          <w:szCs w:val="24"/>
        </w:rPr>
        <w:t xml:space="preserve"> limitation</w:t>
      </w:r>
      <w:r w:rsidR="00396393">
        <w:rPr>
          <w:sz w:val="24"/>
          <w:szCs w:val="24"/>
        </w:rPr>
        <w:t xml:space="preserve"> provided in 17-2-301(1)</w:t>
      </w:r>
      <w:r w:rsidR="00235146" w:rsidRPr="00235146">
        <w:rPr>
          <w:sz w:val="24"/>
          <w:szCs w:val="24"/>
        </w:rPr>
        <w:t xml:space="preserve"> for more than 60 days shall, within 120 days after the end of the 60-day period, reduce the charge for services </w:t>
      </w:r>
      <w:r w:rsidR="00396393">
        <w:rPr>
          <w:sz w:val="24"/>
          <w:szCs w:val="24"/>
        </w:rPr>
        <w:t>…</w:t>
      </w:r>
      <w:r w:rsidR="00235146" w:rsidRPr="00235146">
        <w:rPr>
          <w:sz w:val="24"/>
          <w:szCs w:val="24"/>
        </w:rPr>
        <w:t>until the cash balance in the local fund complies with the limitation</w:t>
      </w:r>
      <w:r w:rsidR="00396393">
        <w:rPr>
          <w:sz w:val="24"/>
          <w:szCs w:val="24"/>
        </w:rPr>
        <w:t xml:space="preserve"> in 17-2-302(1)</w:t>
      </w:r>
      <w:r w:rsidR="00235146">
        <w:rPr>
          <w:sz w:val="24"/>
          <w:szCs w:val="24"/>
        </w:rPr>
        <w:t>.</w:t>
      </w:r>
    </w:p>
    <w:p w14:paraId="4550BD72" w14:textId="77777777" w:rsidR="00A52138" w:rsidRDefault="00A52138" w:rsidP="00A52138">
      <w:pPr>
        <w:spacing w:after="0" w:line="240" w:lineRule="auto"/>
        <w:rPr>
          <w:b/>
          <w:sz w:val="24"/>
          <w:szCs w:val="24"/>
        </w:rPr>
      </w:pPr>
    </w:p>
    <w:p w14:paraId="4580AAAF" w14:textId="1F7D4FDD" w:rsidR="00613104" w:rsidRDefault="00396393" w:rsidP="00A52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§17-2-302(3), MCA, requires that an independent auditor shall include in an audit performed …pursuant to Title 2, </w:t>
      </w:r>
      <w:r w:rsidR="00A118C5">
        <w:rPr>
          <w:sz w:val="24"/>
          <w:szCs w:val="24"/>
        </w:rPr>
        <w:t>Chapter</w:t>
      </w:r>
      <w:r>
        <w:rPr>
          <w:sz w:val="24"/>
          <w:szCs w:val="24"/>
        </w:rPr>
        <w:t xml:space="preserve"> 7, part 5, a determination of whether money is or has been retained in a …local charge for services fund contrary to the requirements of this section or 17-2-303. </w:t>
      </w:r>
    </w:p>
    <w:p w14:paraId="7420E778" w14:textId="77777777" w:rsidR="00613104" w:rsidRDefault="00613104" w:rsidP="00A52138">
      <w:pPr>
        <w:spacing w:after="0" w:line="240" w:lineRule="auto"/>
        <w:rPr>
          <w:sz w:val="24"/>
          <w:szCs w:val="24"/>
        </w:rPr>
      </w:pPr>
    </w:p>
    <w:p w14:paraId="2D5CD603" w14:textId="0BBE0C3D" w:rsidR="00F05006" w:rsidRDefault="00F05006" w:rsidP="00A52138">
      <w:pPr>
        <w:spacing w:after="0" w:line="240" w:lineRule="auto"/>
        <w:rPr>
          <w:b/>
          <w:sz w:val="24"/>
          <w:szCs w:val="24"/>
        </w:rPr>
      </w:pPr>
      <w:r w:rsidRPr="00493ADA">
        <w:rPr>
          <w:b/>
          <w:sz w:val="24"/>
          <w:szCs w:val="24"/>
        </w:rPr>
        <w:t xml:space="preserve">A review by the Department of </w:t>
      </w:r>
      <w:r w:rsidRPr="00C53030">
        <w:rPr>
          <w:b/>
          <w:sz w:val="24"/>
          <w:szCs w:val="24"/>
        </w:rPr>
        <w:t>Administration of local government entity audit reports submitted by independent auditors disclose</w:t>
      </w:r>
      <w:r w:rsidR="00A31AE1" w:rsidRPr="00C53030">
        <w:rPr>
          <w:b/>
          <w:sz w:val="24"/>
          <w:szCs w:val="24"/>
        </w:rPr>
        <w:t>d</w:t>
      </w:r>
      <w:r w:rsidRPr="00C53030">
        <w:rPr>
          <w:b/>
          <w:sz w:val="24"/>
          <w:szCs w:val="24"/>
        </w:rPr>
        <w:t xml:space="preserve"> </w:t>
      </w:r>
      <w:r w:rsidR="001D4FF7" w:rsidRPr="00C53030">
        <w:rPr>
          <w:b/>
          <w:sz w:val="24"/>
          <w:szCs w:val="24"/>
        </w:rPr>
        <w:t>the following</w:t>
      </w:r>
      <w:r w:rsidRPr="00C53030">
        <w:rPr>
          <w:b/>
          <w:sz w:val="24"/>
          <w:szCs w:val="24"/>
        </w:rPr>
        <w:t xml:space="preserve"> audit findings</w:t>
      </w:r>
      <w:r w:rsidR="00F03829">
        <w:rPr>
          <w:b/>
          <w:sz w:val="24"/>
          <w:szCs w:val="24"/>
        </w:rPr>
        <w:t xml:space="preserve"> covering the fiscal year ended June 30, 202</w:t>
      </w:r>
      <w:r w:rsidR="008E3833">
        <w:rPr>
          <w:b/>
          <w:sz w:val="24"/>
          <w:szCs w:val="24"/>
        </w:rPr>
        <w:t>4</w:t>
      </w:r>
      <w:r w:rsidR="006D2696">
        <w:rPr>
          <w:b/>
          <w:sz w:val="24"/>
          <w:szCs w:val="24"/>
        </w:rPr>
        <w:t xml:space="preserve">: reported local government entities were not in compliance with these statutory provisions. No audit findings were disclosed for the fiscal year ended June 30, 2023. </w:t>
      </w:r>
      <w:r w:rsidRPr="00493ADA">
        <w:rPr>
          <w:b/>
          <w:sz w:val="24"/>
          <w:szCs w:val="24"/>
        </w:rPr>
        <w:t xml:space="preserve">The reviews were conducted of local government entity audit reports received as </w:t>
      </w:r>
      <w:r w:rsidRPr="006D2696">
        <w:rPr>
          <w:b/>
          <w:sz w:val="24"/>
          <w:szCs w:val="24"/>
        </w:rPr>
        <w:t xml:space="preserve">of </w:t>
      </w:r>
      <w:r w:rsidR="004C25E2" w:rsidRPr="006D2696">
        <w:rPr>
          <w:b/>
          <w:sz w:val="24"/>
          <w:szCs w:val="24"/>
        </w:rPr>
        <w:t xml:space="preserve">August </w:t>
      </w:r>
      <w:r w:rsidR="008106C6">
        <w:rPr>
          <w:b/>
          <w:sz w:val="24"/>
          <w:szCs w:val="24"/>
        </w:rPr>
        <w:t>27</w:t>
      </w:r>
      <w:r w:rsidR="004C25E2" w:rsidRPr="006D2696">
        <w:rPr>
          <w:b/>
          <w:sz w:val="24"/>
          <w:szCs w:val="24"/>
        </w:rPr>
        <w:t>, 20</w:t>
      </w:r>
      <w:r w:rsidR="00D60FEA" w:rsidRPr="006D2696">
        <w:rPr>
          <w:b/>
          <w:sz w:val="24"/>
          <w:szCs w:val="24"/>
        </w:rPr>
        <w:t>2</w:t>
      </w:r>
      <w:r w:rsidR="008E3833">
        <w:rPr>
          <w:b/>
          <w:sz w:val="24"/>
          <w:szCs w:val="24"/>
        </w:rPr>
        <w:t>5</w:t>
      </w:r>
      <w:r w:rsidR="006D2696">
        <w:rPr>
          <w:b/>
          <w:sz w:val="24"/>
          <w:szCs w:val="24"/>
        </w:rPr>
        <w:t>, and covering the fiscal years ended June 30, 202</w:t>
      </w:r>
      <w:r w:rsidR="008E3833">
        <w:rPr>
          <w:b/>
          <w:sz w:val="24"/>
          <w:szCs w:val="24"/>
        </w:rPr>
        <w:t>3</w:t>
      </w:r>
      <w:r w:rsidR="006D2696">
        <w:rPr>
          <w:b/>
          <w:sz w:val="24"/>
          <w:szCs w:val="24"/>
        </w:rPr>
        <w:t>, and 202</w:t>
      </w:r>
      <w:r w:rsidR="008E3833">
        <w:rPr>
          <w:b/>
          <w:sz w:val="24"/>
          <w:szCs w:val="24"/>
        </w:rPr>
        <w:t>4</w:t>
      </w:r>
      <w:r w:rsidR="006D2696">
        <w:rPr>
          <w:b/>
          <w:sz w:val="24"/>
          <w:szCs w:val="24"/>
        </w:rPr>
        <w:t xml:space="preserve">. </w:t>
      </w:r>
    </w:p>
    <w:p w14:paraId="5A436618" w14:textId="66B08294" w:rsidR="00053E57" w:rsidRDefault="00053E57" w:rsidP="00A52138">
      <w:pPr>
        <w:spacing w:after="0" w:line="240" w:lineRule="auto"/>
        <w:rPr>
          <w:b/>
          <w:sz w:val="24"/>
          <w:szCs w:val="24"/>
        </w:rPr>
      </w:pPr>
    </w:p>
    <w:p w14:paraId="1C8E5C22" w14:textId="1C713B34" w:rsidR="00053E57" w:rsidRDefault="00053E57" w:rsidP="00A52138">
      <w:pPr>
        <w:spacing w:after="0" w:line="240" w:lineRule="auto"/>
        <w:rPr>
          <w:b/>
          <w:sz w:val="24"/>
          <w:szCs w:val="24"/>
        </w:rPr>
      </w:pPr>
    </w:p>
    <w:p w14:paraId="3EF8EBDE" w14:textId="6E7D8367" w:rsidR="00053E57" w:rsidRDefault="00053E57" w:rsidP="00A52138">
      <w:pPr>
        <w:spacing w:after="0" w:line="240" w:lineRule="auto"/>
        <w:rPr>
          <w:b/>
          <w:sz w:val="24"/>
          <w:szCs w:val="24"/>
        </w:rPr>
      </w:pPr>
    </w:p>
    <w:p w14:paraId="60270BDD" w14:textId="54FF0A74" w:rsidR="00053E57" w:rsidRDefault="00053E57" w:rsidP="00A52138">
      <w:pPr>
        <w:spacing w:after="0" w:line="240" w:lineRule="auto"/>
        <w:rPr>
          <w:b/>
          <w:sz w:val="24"/>
          <w:szCs w:val="24"/>
        </w:rPr>
      </w:pPr>
    </w:p>
    <w:p w14:paraId="5740F6EE" w14:textId="724DECCA" w:rsidR="00053E57" w:rsidRDefault="00053E57" w:rsidP="00A52138">
      <w:pPr>
        <w:spacing w:after="0" w:line="240" w:lineRule="auto"/>
        <w:rPr>
          <w:b/>
          <w:sz w:val="24"/>
          <w:szCs w:val="24"/>
        </w:rPr>
      </w:pPr>
    </w:p>
    <w:p w14:paraId="3916C6DC" w14:textId="39D7B5F2" w:rsidR="00053E57" w:rsidRDefault="00595EF2" w:rsidP="00595EF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9B76B3B" w14:textId="6C99A600" w:rsidR="00053E57" w:rsidRDefault="00053E57" w:rsidP="00A5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14745" w:type="dxa"/>
        <w:tblInd w:w="-72" w:type="dxa"/>
        <w:tblLook w:val="04A0" w:firstRow="1" w:lastRow="0" w:firstColumn="1" w:lastColumn="0" w:noHBand="0" w:noVBand="1"/>
      </w:tblPr>
      <w:tblGrid>
        <w:gridCol w:w="2047"/>
        <w:gridCol w:w="1550"/>
        <w:gridCol w:w="2092"/>
        <w:gridCol w:w="1881"/>
        <w:gridCol w:w="7175"/>
      </w:tblGrid>
      <w:tr w:rsidR="00B65AEC" w14:paraId="331E6D31" w14:textId="77777777" w:rsidTr="00A3442C">
        <w:trPr>
          <w:trHeight w:val="1493"/>
        </w:trPr>
        <w:tc>
          <w:tcPr>
            <w:tcW w:w="2047" w:type="dxa"/>
          </w:tcPr>
          <w:p w14:paraId="678BF9F0" w14:textId="27385B87" w:rsidR="00FF7C89" w:rsidRDefault="00FF7C89" w:rsidP="00A52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Gov’t Entity &amp; Audit Period</w:t>
            </w:r>
          </w:p>
        </w:tc>
        <w:tc>
          <w:tcPr>
            <w:tcW w:w="1550" w:type="dxa"/>
          </w:tcPr>
          <w:p w14:paraId="311F030E" w14:textId="41594A66" w:rsidR="00FF7C89" w:rsidRDefault="00FF7C89" w:rsidP="00A52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Charge for Services Fund</w:t>
            </w:r>
          </w:p>
        </w:tc>
        <w:tc>
          <w:tcPr>
            <w:tcW w:w="0" w:type="auto"/>
          </w:tcPr>
          <w:p w14:paraId="00005325" w14:textId="2EBB2AD4" w:rsidR="00FF7C89" w:rsidRDefault="00FF7C89" w:rsidP="00A52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Balance in a local charge for s</w:t>
            </w:r>
            <w:r w:rsidR="0000095B">
              <w:rPr>
                <w:b/>
                <w:sz w:val="24"/>
                <w:szCs w:val="24"/>
              </w:rPr>
              <w:t>ervices</w:t>
            </w:r>
            <w:r>
              <w:rPr>
                <w:b/>
                <w:sz w:val="24"/>
                <w:szCs w:val="24"/>
              </w:rPr>
              <w:t xml:space="preserve"> fund contrary to 17-2-302(1)?</w:t>
            </w:r>
          </w:p>
        </w:tc>
        <w:tc>
          <w:tcPr>
            <w:tcW w:w="0" w:type="auto"/>
          </w:tcPr>
          <w:p w14:paraId="27825596" w14:textId="7032791E" w:rsidR="00FF7C89" w:rsidRDefault="00FF7C89" w:rsidP="00A52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Failed to reduce the charge as provided in 17-2-303?</w:t>
            </w:r>
          </w:p>
        </w:tc>
        <w:tc>
          <w:tcPr>
            <w:tcW w:w="7175" w:type="dxa"/>
          </w:tcPr>
          <w:p w14:paraId="59D3F302" w14:textId="551BE9BF" w:rsidR="00FF7C89" w:rsidRDefault="00FF7C89" w:rsidP="00A52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 Gov’t Entity’s Response to Audit Finding</w:t>
            </w:r>
          </w:p>
        </w:tc>
      </w:tr>
      <w:tr w:rsidR="005D3B6B" w14:paraId="4D96EF6B" w14:textId="77777777" w:rsidTr="00A3442C">
        <w:tc>
          <w:tcPr>
            <w:tcW w:w="2047" w:type="dxa"/>
          </w:tcPr>
          <w:p w14:paraId="0AC96CCA" w14:textId="0A142E4E" w:rsidR="005D3B6B" w:rsidRDefault="005D3B6B" w:rsidP="003B45EE">
            <w:pPr>
              <w:ind w:left="-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City of </w:t>
            </w:r>
            <w:r w:rsidR="005B1D02">
              <w:rPr>
                <w:b/>
                <w:sz w:val="24"/>
                <w:szCs w:val="24"/>
              </w:rPr>
              <w:t>Livingston</w:t>
            </w:r>
          </w:p>
          <w:p w14:paraId="65C5239F" w14:textId="77777777" w:rsidR="005D3B6B" w:rsidRDefault="005D3B6B" w:rsidP="003B45EE">
            <w:pPr>
              <w:ind w:left="-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Annual Audit for </w:t>
            </w:r>
          </w:p>
          <w:p w14:paraId="5721E5C9" w14:textId="77777777" w:rsidR="005D3B6B" w:rsidRDefault="005D3B6B" w:rsidP="003B45EE">
            <w:pPr>
              <w:ind w:left="-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FY2024</w:t>
            </w:r>
          </w:p>
          <w:p w14:paraId="0CDEC099" w14:textId="65BC6D61" w:rsidR="005D3B6B" w:rsidRPr="005D3B6B" w:rsidRDefault="005D3B6B" w:rsidP="005D3B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588F75A9" w14:textId="575870D5" w:rsidR="005D3B6B" w:rsidRDefault="005B1D02" w:rsidP="003B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 Fees </w:t>
            </w:r>
          </w:p>
        </w:tc>
        <w:tc>
          <w:tcPr>
            <w:tcW w:w="0" w:type="auto"/>
          </w:tcPr>
          <w:p w14:paraId="12A1CA8F" w14:textId="292E6BE3" w:rsidR="005D3B6B" w:rsidRDefault="005B1D02" w:rsidP="003B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63E49495" w14:textId="1E0FF99B" w:rsidR="005D3B6B" w:rsidRDefault="005B1D02" w:rsidP="003B4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175" w:type="dxa"/>
          </w:tcPr>
          <w:p w14:paraId="532500A7" w14:textId="20F02D8A" w:rsidR="005B1D02" w:rsidRDefault="005B1D02" w:rsidP="005B1D0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City does not intend to reduce the charges for services because those funds are being accumulated for a specific future railroad crossing project and will be spent in the next upcoming years. </w:t>
            </w:r>
          </w:p>
        </w:tc>
      </w:tr>
    </w:tbl>
    <w:p w14:paraId="0E14A31D" w14:textId="77777777" w:rsidR="00053E57" w:rsidRDefault="00053E57" w:rsidP="003B0ECE">
      <w:pPr>
        <w:spacing w:after="0" w:line="240" w:lineRule="auto"/>
        <w:rPr>
          <w:b/>
          <w:sz w:val="24"/>
          <w:szCs w:val="24"/>
        </w:rPr>
      </w:pPr>
    </w:p>
    <w:sectPr w:rsidR="00053E57" w:rsidSect="00595EF2">
      <w:pgSz w:w="15840" w:h="12240" w:orient="landscape" w:code="1"/>
      <w:pgMar w:top="720" w:right="720" w:bottom="720" w:left="720" w:header="432" w:footer="432" w:gutter="0"/>
      <w:paperSrc w:first="1" w:other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9805" w14:textId="77777777" w:rsidR="00595EF2" w:rsidRDefault="00595EF2" w:rsidP="00595EF2">
      <w:pPr>
        <w:spacing w:after="0" w:line="240" w:lineRule="auto"/>
      </w:pPr>
      <w:r>
        <w:separator/>
      </w:r>
    </w:p>
  </w:endnote>
  <w:endnote w:type="continuationSeparator" w:id="0">
    <w:p w14:paraId="3CB68BE2" w14:textId="77777777" w:rsidR="00595EF2" w:rsidRDefault="00595EF2" w:rsidP="0059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B5F5" w14:textId="77777777" w:rsidR="00595EF2" w:rsidRDefault="00595EF2" w:rsidP="00595EF2">
      <w:pPr>
        <w:spacing w:after="0" w:line="240" w:lineRule="auto"/>
      </w:pPr>
      <w:r>
        <w:separator/>
      </w:r>
    </w:p>
  </w:footnote>
  <w:footnote w:type="continuationSeparator" w:id="0">
    <w:p w14:paraId="31DA7D5B" w14:textId="77777777" w:rsidR="00595EF2" w:rsidRDefault="00595EF2" w:rsidP="00595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C2197"/>
    <w:multiLevelType w:val="hybridMultilevel"/>
    <w:tmpl w:val="BEA6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6EFC"/>
    <w:multiLevelType w:val="hybridMultilevel"/>
    <w:tmpl w:val="8E40A39E"/>
    <w:lvl w:ilvl="0" w:tplc="21122F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289190">
    <w:abstractNumId w:val="0"/>
  </w:num>
  <w:num w:numId="2" w16cid:durableId="59371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46"/>
    <w:rsid w:val="0000095B"/>
    <w:rsid w:val="00053E57"/>
    <w:rsid w:val="00077CA9"/>
    <w:rsid w:val="00086A5F"/>
    <w:rsid w:val="000B298E"/>
    <w:rsid w:val="001465C7"/>
    <w:rsid w:val="001902CD"/>
    <w:rsid w:val="00196610"/>
    <w:rsid w:val="001D4FF7"/>
    <w:rsid w:val="001E0C70"/>
    <w:rsid w:val="00235146"/>
    <w:rsid w:val="00242444"/>
    <w:rsid w:val="00267165"/>
    <w:rsid w:val="002C5976"/>
    <w:rsid w:val="002D2E9F"/>
    <w:rsid w:val="002D4537"/>
    <w:rsid w:val="002E0D35"/>
    <w:rsid w:val="0037053B"/>
    <w:rsid w:val="003860D2"/>
    <w:rsid w:val="00395DEF"/>
    <w:rsid w:val="00396393"/>
    <w:rsid w:val="003B0ECE"/>
    <w:rsid w:val="003B45EE"/>
    <w:rsid w:val="004062B3"/>
    <w:rsid w:val="004139CF"/>
    <w:rsid w:val="00432A5E"/>
    <w:rsid w:val="00462F73"/>
    <w:rsid w:val="00493ADA"/>
    <w:rsid w:val="004B16C4"/>
    <w:rsid w:val="004B474A"/>
    <w:rsid w:val="004C25E2"/>
    <w:rsid w:val="005513C5"/>
    <w:rsid w:val="0055229A"/>
    <w:rsid w:val="00566CFF"/>
    <w:rsid w:val="00583BC5"/>
    <w:rsid w:val="005844CE"/>
    <w:rsid w:val="00595EF2"/>
    <w:rsid w:val="005B1D02"/>
    <w:rsid w:val="005C3F9B"/>
    <w:rsid w:val="005D3B6B"/>
    <w:rsid w:val="0060581B"/>
    <w:rsid w:val="00613104"/>
    <w:rsid w:val="00615468"/>
    <w:rsid w:val="00616388"/>
    <w:rsid w:val="00623ACF"/>
    <w:rsid w:val="00634A13"/>
    <w:rsid w:val="00666FE0"/>
    <w:rsid w:val="006A2514"/>
    <w:rsid w:val="006D2696"/>
    <w:rsid w:val="006E7F55"/>
    <w:rsid w:val="00713936"/>
    <w:rsid w:val="007500F1"/>
    <w:rsid w:val="00753F1B"/>
    <w:rsid w:val="00777DE2"/>
    <w:rsid w:val="00780899"/>
    <w:rsid w:val="0079023E"/>
    <w:rsid w:val="007950AC"/>
    <w:rsid w:val="007A1C8B"/>
    <w:rsid w:val="007B1BF1"/>
    <w:rsid w:val="007C44B6"/>
    <w:rsid w:val="007C7F67"/>
    <w:rsid w:val="007F420E"/>
    <w:rsid w:val="007F6D66"/>
    <w:rsid w:val="008106C6"/>
    <w:rsid w:val="008146A7"/>
    <w:rsid w:val="00815CC5"/>
    <w:rsid w:val="00822659"/>
    <w:rsid w:val="00836B34"/>
    <w:rsid w:val="00865903"/>
    <w:rsid w:val="00881F31"/>
    <w:rsid w:val="008C38D0"/>
    <w:rsid w:val="008D7A0E"/>
    <w:rsid w:val="008E3833"/>
    <w:rsid w:val="00926DDF"/>
    <w:rsid w:val="009317CF"/>
    <w:rsid w:val="0096242F"/>
    <w:rsid w:val="009629F0"/>
    <w:rsid w:val="009D6CC9"/>
    <w:rsid w:val="00A118C5"/>
    <w:rsid w:val="00A31AE1"/>
    <w:rsid w:val="00A3442C"/>
    <w:rsid w:val="00A52138"/>
    <w:rsid w:val="00A969BE"/>
    <w:rsid w:val="00AC5E6D"/>
    <w:rsid w:val="00AE4CB5"/>
    <w:rsid w:val="00B65AEC"/>
    <w:rsid w:val="00B71D76"/>
    <w:rsid w:val="00BA171D"/>
    <w:rsid w:val="00C03066"/>
    <w:rsid w:val="00C53030"/>
    <w:rsid w:val="00C565B1"/>
    <w:rsid w:val="00CF1EAF"/>
    <w:rsid w:val="00D27123"/>
    <w:rsid w:val="00D36FA3"/>
    <w:rsid w:val="00D60FEA"/>
    <w:rsid w:val="00D817A6"/>
    <w:rsid w:val="00D90581"/>
    <w:rsid w:val="00D94307"/>
    <w:rsid w:val="00E058BB"/>
    <w:rsid w:val="00E17C92"/>
    <w:rsid w:val="00E51163"/>
    <w:rsid w:val="00E70C16"/>
    <w:rsid w:val="00E7713F"/>
    <w:rsid w:val="00E93A22"/>
    <w:rsid w:val="00EB12F4"/>
    <w:rsid w:val="00EE3317"/>
    <w:rsid w:val="00F03829"/>
    <w:rsid w:val="00F05006"/>
    <w:rsid w:val="00F318FF"/>
    <w:rsid w:val="00F533EA"/>
    <w:rsid w:val="00FB69D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49769"/>
  <w15:docId w15:val="{7A2F5278-CD75-481E-9330-B2F403A9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DEF"/>
    <w:pPr>
      <w:ind w:left="720"/>
      <w:contextualSpacing/>
    </w:pPr>
  </w:style>
  <w:style w:type="table" w:styleId="TableGrid">
    <w:name w:val="Table Grid"/>
    <w:basedOn w:val="TableNormal"/>
    <w:uiPriority w:val="59"/>
    <w:rsid w:val="0005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F2"/>
  </w:style>
  <w:style w:type="paragraph" w:styleId="Footer">
    <w:name w:val="footer"/>
    <w:basedOn w:val="Normal"/>
    <w:link w:val="FooterChar"/>
    <w:uiPriority w:val="99"/>
    <w:unhideWhenUsed/>
    <w:rsid w:val="0059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5D73-8EAF-436F-8377-CEDD506A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CC5156</dc:creator>
  <cp:lastModifiedBy>Vincent, Danielle</cp:lastModifiedBy>
  <cp:revision>2</cp:revision>
  <cp:lastPrinted>2016-07-27T15:26:00Z</cp:lastPrinted>
  <dcterms:created xsi:type="dcterms:W3CDTF">2025-11-12T00:07:00Z</dcterms:created>
  <dcterms:modified xsi:type="dcterms:W3CDTF">2025-11-12T00:07:00Z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8430febfdbef49b47232b1cba64a5dd5795a07f31af7c2903f5d9c5f1673b511</vt:lpwstr>
  </property>
</Properties>
</file>