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98801" w14:textId="77777777" w:rsidR="00FF3F6F" w:rsidRPr="003276AF" w:rsidRDefault="00C7688C" w:rsidP="00B0581E">
      <w:pPr>
        <w:suppressAutoHyphens/>
        <w:ind w:right="720"/>
        <w:rPr>
          <w:sz w:val="24"/>
          <w:szCs w:val="24"/>
          <w:u w:val="single"/>
        </w:rPr>
      </w:pPr>
      <w:r w:rsidRPr="003276AF">
        <w:rPr>
          <w:sz w:val="24"/>
          <w:szCs w:val="24"/>
          <w:u w:val="single"/>
        </w:rPr>
        <w:t>Date</w:t>
      </w:r>
    </w:p>
    <w:p w14:paraId="73C36833" w14:textId="77777777" w:rsidR="00FF3F6F" w:rsidRPr="003276AF" w:rsidRDefault="00FF3F6F" w:rsidP="00B0581E">
      <w:pPr>
        <w:suppressAutoHyphens/>
        <w:ind w:right="720"/>
        <w:rPr>
          <w:sz w:val="24"/>
          <w:szCs w:val="24"/>
        </w:rPr>
      </w:pPr>
    </w:p>
    <w:p w14:paraId="2A816490" w14:textId="77777777" w:rsidR="00FF3F6F" w:rsidRPr="003276AF" w:rsidRDefault="00FF3F6F" w:rsidP="00B0581E">
      <w:pPr>
        <w:suppressAutoHyphens/>
        <w:ind w:right="720"/>
        <w:rPr>
          <w:sz w:val="24"/>
          <w:szCs w:val="24"/>
        </w:rPr>
      </w:pPr>
      <w:r w:rsidRPr="003276AF">
        <w:rPr>
          <w:sz w:val="24"/>
          <w:szCs w:val="24"/>
          <w:u w:val="single"/>
        </w:rPr>
        <w:t>MONTANA (</w:t>
      </w:r>
      <w:r w:rsidRPr="003276AF">
        <w:rPr>
          <w:caps/>
          <w:sz w:val="24"/>
          <w:szCs w:val="24"/>
          <w:u w:val="single"/>
        </w:rPr>
        <w:t>department, board, office, council</w:t>
      </w:r>
      <w:r w:rsidRPr="003276AF">
        <w:rPr>
          <w:sz w:val="24"/>
          <w:szCs w:val="24"/>
          <w:u w:val="single"/>
        </w:rPr>
        <w:t>) OF **</w:t>
      </w:r>
      <w:r w:rsidR="006C788C" w:rsidRPr="003276AF">
        <w:rPr>
          <w:sz w:val="24"/>
          <w:szCs w:val="24"/>
        </w:rPr>
        <w:fldChar w:fldCharType="begin"/>
      </w:r>
      <w:r w:rsidRPr="003276AF">
        <w:rPr>
          <w:sz w:val="24"/>
          <w:szCs w:val="24"/>
        </w:rPr>
        <w:instrText xml:space="preserve">PRIVATE </w:instrText>
      </w:r>
      <w:r w:rsidR="006C788C" w:rsidRPr="003276AF">
        <w:rPr>
          <w:sz w:val="24"/>
          <w:szCs w:val="24"/>
        </w:rPr>
        <w:fldChar w:fldCharType="end"/>
      </w:r>
    </w:p>
    <w:p w14:paraId="40FBC1DA" w14:textId="77777777" w:rsidR="00FF3F6F" w:rsidRPr="003276AF" w:rsidRDefault="00FF3F6F" w:rsidP="00B0581E">
      <w:pPr>
        <w:suppressAutoHyphens/>
        <w:ind w:right="720"/>
        <w:rPr>
          <w:sz w:val="24"/>
          <w:szCs w:val="24"/>
        </w:rPr>
      </w:pPr>
    </w:p>
    <w:p w14:paraId="1548A45C" w14:textId="77777777" w:rsidR="00FF3F6F" w:rsidRPr="003276AF" w:rsidRDefault="00FF3F6F" w:rsidP="00B0581E">
      <w:pPr>
        <w:suppressAutoHyphens/>
        <w:ind w:right="720"/>
        <w:rPr>
          <w:sz w:val="24"/>
          <w:szCs w:val="24"/>
        </w:rPr>
      </w:pPr>
      <w:r w:rsidRPr="003276AF">
        <w:rPr>
          <w:sz w:val="24"/>
          <w:szCs w:val="24"/>
          <w:u w:val="single"/>
        </w:rPr>
        <w:t>NOTES TO THE FINANCIAL SCHEDULES</w:t>
      </w:r>
    </w:p>
    <w:p w14:paraId="1ED620EF" w14:textId="77777777" w:rsidR="00FF3F6F" w:rsidRPr="003276AF" w:rsidRDefault="00FF3F6F" w:rsidP="00B0581E">
      <w:pPr>
        <w:suppressAutoHyphens/>
        <w:ind w:right="720"/>
        <w:rPr>
          <w:sz w:val="24"/>
          <w:szCs w:val="24"/>
        </w:rPr>
      </w:pPr>
    </w:p>
    <w:p w14:paraId="17BA3D8E" w14:textId="77777777" w:rsidR="00FF3F6F" w:rsidRPr="003276AF" w:rsidRDefault="00FF3F6F" w:rsidP="00B0581E">
      <w:pPr>
        <w:suppressAutoHyphens/>
        <w:ind w:right="720"/>
        <w:rPr>
          <w:sz w:val="24"/>
          <w:szCs w:val="24"/>
        </w:rPr>
      </w:pPr>
      <w:r w:rsidRPr="003276AF">
        <w:rPr>
          <w:sz w:val="24"/>
          <w:szCs w:val="24"/>
          <w:u w:val="single"/>
        </w:rPr>
        <w:t>FOR THE TWO FISCAL YEARS ENDED JUNE 30, 2XXX</w:t>
      </w:r>
    </w:p>
    <w:p w14:paraId="5ED8240F" w14:textId="77777777" w:rsidR="00FF3F6F" w:rsidRPr="003276AF" w:rsidRDefault="00FF3F6F" w:rsidP="00B0581E">
      <w:pPr>
        <w:suppressAutoHyphens/>
        <w:ind w:right="720"/>
        <w:rPr>
          <w:sz w:val="24"/>
          <w:szCs w:val="24"/>
        </w:rPr>
      </w:pPr>
    </w:p>
    <w:p w14:paraId="24EC4B7C" w14:textId="77777777" w:rsidR="00FF3F6F" w:rsidRPr="003276AF" w:rsidRDefault="00656E1A" w:rsidP="00B0581E">
      <w:pPr>
        <w:suppressAutoHyphens/>
        <w:ind w:right="720"/>
        <w:rPr>
          <w:i/>
          <w:iCs/>
          <w:sz w:val="24"/>
          <w:szCs w:val="24"/>
        </w:rPr>
      </w:pPr>
      <w:r w:rsidRPr="003276AF">
        <w:rPr>
          <w:i/>
          <w:iCs/>
          <w:sz w:val="24"/>
          <w:szCs w:val="24"/>
        </w:rPr>
        <w:t>Agency Management</w:t>
      </w:r>
      <w:r w:rsidR="00FF3F6F" w:rsidRPr="003276AF">
        <w:rPr>
          <w:i/>
          <w:iCs/>
          <w:sz w:val="24"/>
          <w:szCs w:val="24"/>
        </w:rPr>
        <w:t>: modify the following notes as needed fo</w:t>
      </w:r>
      <w:r w:rsidRPr="003276AF">
        <w:rPr>
          <w:i/>
          <w:iCs/>
          <w:sz w:val="24"/>
          <w:szCs w:val="24"/>
        </w:rPr>
        <w:t>r the schedules being audited</w:t>
      </w:r>
      <w:r w:rsidR="00233957" w:rsidRPr="003276AF">
        <w:rPr>
          <w:i/>
          <w:iCs/>
          <w:sz w:val="24"/>
          <w:szCs w:val="24"/>
        </w:rPr>
        <w:t xml:space="preserve">. Additional notes may be necessary to aid readers of the financial schedules. Determining if and/or what additional notes </w:t>
      </w:r>
      <w:r w:rsidR="00346DDB" w:rsidRPr="003276AF">
        <w:rPr>
          <w:i/>
          <w:iCs/>
          <w:sz w:val="24"/>
          <w:szCs w:val="24"/>
        </w:rPr>
        <w:t>may</w:t>
      </w:r>
      <w:r w:rsidR="00233957" w:rsidRPr="003276AF">
        <w:rPr>
          <w:i/>
          <w:iCs/>
          <w:sz w:val="24"/>
          <w:szCs w:val="24"/>
        </w:rPr>
        <w:t xml:space="preserve"> be necessary</w:t>
      </w:r>
      <w:r w:rsidR="00346DDB" w:rsidRPr="003276AF">
        <w:rPr>
          <w:i/>
          <w:iCs/>
          <w:sz w:val="24"/>
          <w:szCs w:val="24"/>
        </w:rPr>
        <w:t xml:space="preserve"> will</w:t>
      </w:r>
      <w:r w:rsidR="00233957" w:rsidRPr="003276AF">
        <w:rPr>
          <w:i/>
          <w:iCs/>
          <w:sz w:val="24"/>
          <w:szCs w:val="24"/>
        </w:rPr>
        <w:t xml:space="preserve"> </w:t>
      </w:r>
      <w:r w:rsidR="00346DDB" w:rsidRPr="003276AF">
        <w:rPr>
          <w:i/>
          <w:iCs/>
          <w:sz w:val="24"/>
          <w:szCs w:val="24"/>
        </w:rPr>
        <w:t>require</w:t>
      </w:r>
      <w:r w:rsidR="00233957" w:rsidRPr="003276AF">
        <w:rPr>
          <w:i/>
          <w:iCs/>
          <w:sz w:val="24"/>
          <w:szCs w:val="24"/>
        </w:rPr>
        <w:t xml:space="preserve"> agency management to use professional judgment.</w:t>
      </w:r>
    </w:p>
    <w:p w14:paraId="1818AD70" w14:textId="77777777" w:rsidR="00FF3F6F" w:rsidRPr="003276AF" w:rsidRDefault="00FF3F6F" w:rsidP="00B0581E">
      <w:pPr>
        <w:suppressAutoHyphens/>
        <w:ind w:right="720"/>
        <w:rPr>
          <w:sz w:val="24"/>
          <w:szCs w:val="24"/>
        </w:rPr>
      </w:pPr>
    </w:p>
    <w:p w14:paraId="05C26FEB" w14:textId="77777777" w:rsidR="00FF3F6F" w:rsidRPr="003276AF" w:rsidRDefault="00FF3F6F" w:rsidP="00B0581E">
      <w:pPr>
        <w:suppressAutoHyphens/>
        <w:ind w:right="720"/>
        <w:rPr>
          <w:sz w:val="24"/>
          <w:szCs w:val="24"/>
        </w:rPr>
      </w:pPr>
      <w:r w:rsidRPr="003276AF">
        <w:rPr>
          <w:sz w:val="24"/>
          <w:szCs w:val="24"/>
        </w:rPr>
        <w:t>1.</w:t>
      </w:r>
      <w:r w:rsidRPr="003276AF">
        <w:rPr>
          <w:sz w:val="24"/>
          <w:szCs w:val="24"/>
        </w:rPr>
        <w:tab/>
      </w:r>
      <w:r w:rsidRPr="003276AF">
        <w:rPr>
          <w:sz w:val="24"/>
          <w:szCs w:val="24"/>
          <w:u w:val="single"/>
        </w:rPr>
        <w:t>Summary of Significant Accounting Policies</w:t>
      </w:r>
    </w:p>
    <w:p w14:paraId="0F4C2FC3" w14:textId="77777777" w:rsidR="00FF3F6F" w:rsidRPr="003276AF" w:rsidRDefault="00FF3F6F" w:rsidP="00B0581E">
      <w:pPr>
        <w:suppressAutoHyphens/>
        <w:ind w:right="720"/>
        <w:rPr>
          <w:sz w:val="24"/>
          <w:szCs w:val="24"/>
        </w:rPr>
      </w:pPr>
    </w:p>
    <w:p w14:paraId="78D117D0" w14:textId="77777777" w:rsidR="00FF3F6F" w:rsidRPr="003276AF" w:rsidRDefault="00FF3F6F" w:rsidP="00B0581E">
      <w:pPr>
        <w:suppressAutoHyphens/>
        <w:ind w:right="720"/>
        <w:rPr>
          <w:sz w:val="24"/>
          <w:szCs w:val="24"/>
        </w:rPr>
      </w:pPr>
      <w:r w:rsidRPr="003276AF">
        <w:rPr>
          <w:sz w:val="24"/>
          <w:szCs w:val="24"/>
          <w:u w:val="single"/>
        </w:rPr>
        <w:t>Basis of Accounting</w:t>
      </w:r>
    </w:p>
    <w:p w14:paraId="088B8DD0" w14:textId="77777777" w:rsidR="00FF3F6F" w:rsidRPr="003276AF" w:rsidRDefault="00FF3F6F" w:rsidP="00B0581E">
      <w:pPr>
        <w:suppressAutoHyphens/>
        <w:ind w:right="720"/>
        <w:rPr>
          <w:sz w:val="24"/>
          <w:szCs w:val="24"/>
        </w:rPr>
      </w:pPr>
    </w:p>
    <w:p w14:paraId="6CCC12CA" w14:textId="77777777" w:rsidR="00FF3F6F" w:rsidRPr="003276AF" w:rsidRDefault="00FF3F6F" w:rsidP="00B0581E">
      <w:pPr>
        <w:suppressAutoHyphens/>
        <w:ind w:right="720"/>
        <w:rPr>
          <w:sz w:val="24"/>
          <w:szCs w:val="24"/>
        </w:rPr>
      </w:pPr>
      <w:r w:rsidRPr="003276AF">
        <w:rPr>
          <w:sz w:val="24"/>
          <w:szCs w:val="24"/>
        </w:rPr>
        <w:t>The (department, board, office, council) uses the modified accrual basis of accounting, as defined by state accounting policy, for its Governmental fund category (General, State Special Revenue, Federal Special Revenue,</w:t>
      </w:r>
      <w:r w:rsidRPr="003276AF">
        <w:rPr>
          <w:color w:val="0000FF"/>
          <w:sz w:val="24"/>
          <w:szCs w:val="24"/>
        </w:rPr>
        <w:t xml:space="preserve"> </w:t>
      </w:r>
      <w:r w:rsidRPr="003276AF">
        <w:rPr>
          <w:sz w:val="24"/>
          <w:szCs w:val="24"/>
        </w:rPr>
        <w:t>Capital Projects, Debt Service, and Permanent)</w:t>
      </w:r>
      <w:r w:rsidR="0086496D" w:rsidRPr="003276AF">
        <w:rPr>
          <w:sz w:val="24"/>
          <w:szCs w:val="24"/>
        </w:rPr>
        <w:t>.</w:t>
      </w:r>
      <w:r w:rsidR="00B0581E" w:rsidRPr="003276AF">
        <w:rPr>
          <w:sz w:val="24"/>
          <w:szCs w:val="24"/>
        </w:rPr>
        <w:t xml:space="preserve"> </w:t>
      </w:r>
      <w:r w:rsidRPr="003276AF">
        <w:rPr>
          <w:sz w:val="24"/>
          <w:szCs w:val="24"/>
        </w:rPr>
        <w:t xml:space="preserve">In applying the modified accrual basis, the (department, board, office, council) records: </w:t>
      </w:r>
    </w:p>
    <w:p w14:paraId="6BF9D25B" w14:textId="77777777" w:rsidR="00B0581E" w:rsidRPr="003276AF" w:rsidRDefault="00B0581E" w:rsidP="00B0581E">
      <w:pPr>
        <w:pStyle w:val="BlockText"/>
        <w:tabs>
          <w:tab w:val="clear" w:pos="0"/>
          <w:tab w:val="clear" w:pos="720"/>
          <w:tab w:val="clear" w:pos="1440"/>
        </w:tabs>
        <w:ind w:left="0" w:firstLine="0"/>
        <w:rPr>
          <w:rFonts w:ascii="Times New Roman" w:hAnsi="Times New Roman"/>
          <w:sz w:val="24"/>
          <w:szCs w:val="24"/>
        </w:rPr>
      </w:pPr>
    </w:p>
    <w:p w14:paraId="6A07DA60" w14:textId="77777777" w:rsidR="00FF3F6F" w:rsidRPr="003276AF" w:rsidRDefault="00FF3F6F" w:rsidP="00B0581E">
      <w:pPr>
        <w:pStyle w:val="BlockText"/>
        <w:tabs>
          <w:tab w:val="clear" w:pos="0"/>
          <w:tab w:val="clear" w:pos="720"/>
          <w:tab w:val="clear" w:pos="1440"/>
        </w:tabs>
        <w:ind w:left="0" w:firstLine="0"/>
        <w:rPr>
          <w:rFonts w:ascii="Times New Roman" w:hAnsi="Times New Roman"/>
          <w:sz w:val="24"/>
          <w:szCs w:val="24"/>
        </w:rPr>
      </w:pPr>
      <w:r w:rsidRPr="003276AF">
        <w:rPr>
          <w:rFonts w:ascii="Times New Roman" w:hAnsi="Times New Roman"/>
          <w:sz w:val="24"/>
          <w:szCs w:val="24"/>
        </w:rPr>
        <w:t>Revenues when it receives cash or when receipts are realizable, measurable, earned, and available to pay current period liabilities.</w:t>
      </w:r>
    </w:p>
    <w:p w14:paraId="4A5195AD" w14:textId="77777777" w:rsidR="00FF3F6F" w:rsidRPr="003276AF" w:rsidRDefault="00FF3F6F" w:rsidP="00B0581E">
      <w:pPr>
        <w:suppressAutoHyphens/>
        <w:ind w:right="720"/>
        <w:rPr>
          <w:sz w:val="24"/>
          <w:szCs w:val="24"/>
        </w:rPr>
      </w:pPr>
    </w:p>
    <w:p w14:paraId="36E7F0E7" w14:textId="77777777" w:rsidR="00FF3F6F" w:rsidRPr="003276AF" w:rsidRDefault="00FF3F6F" w:rsidP="00B0581E">
      <w:pPr>
        <w:suppressAutoHyphens/>
        <w:ind w:right="720"/>
        <w:rPr>
          <w:sz w:val="24"/>
          <w:szCs w:val="24"/>
        </w:rPr>
      </w:pPr>
      <w:r w:rsidRPr="003276AF">
        <w:rPr>
          <w:sz w:val="24"/>
          <w:szCs w:val="24"/>
        </w:rPr>
        <w:t>Expenditures for valid obligations when the department incurs the related liability and it is measurable, with the exc</w:t>
      </w:r>
      <w:r w:rsidR="00F3587F" w:rsidRPr="003276AF">
        <w:rPr>
          <w:sz w:val="24"/>
          <w:szCs w:val="24"/>
        </w:rPr>
        <w:t xml:space="preserve">eption of the cost of </w:t>
      </w:r>
      <w:r w:rsidR="00B0581E" w:rsidRPr="003276AF">
        <w:rPr>
          <w:sz w:val="24"/>
          <w:szCs w:val="24"/>
        </w:rPr>
        <w:t>employees’ annual</w:t>
      </w:r>
      <w:r w:rsidRPr="003276AF">
        <w:rPr>
          <w:sz w:val="24"/>
          <w:szCs w:val="24"/>
        </w:rPr>
        <w:t xml:space="preserve"> and sick leave</w:t>
      </w:r>
      <w:r w:rsidR="00B0581E" w:rsidRPr="003276AF">
        <w:rPr>
          <w:sz w:val="24"/>
          <w:szCs w:val="24"/>
        </w:rPr>
        <w:t xml:space="preserve">. </w:t>
      </w:r>
      <w:r w:rsidRPr="003276AF">
        <w:rPr>
          <w:sz w:val="24"/>
          <w:szCs w:val="24"/>
        </w:rPr>
        <w:t>State accounting policy requires the (department, board, office, council) to record the cost of employees</w:t>
      </w:r>
      <w:r w:rsidR="00F3587F" w:rsidRPr="003276AF">
        <w:rPr>
          <w:sz w:val="24"/>
          <w:szCs w:val="24"/>
        </w:rPr>
        <w:t>’</w:t>
      </w:r>
      <w:r w:rsidRPr="003276AF">
        <w:rPr>
          <w:sz w:val="24"/>
          <w:szCs w:val="24"/>
        </w:rPr>
        <w:t xml:space="preserve"> annual and sick leave when used or paid.</w:t>
      </w:r>
    </w:p>
    <w:p w14:paraId="7B11ACB3" w14:textId="77777777" w:rsidR="00FF3F6F" w:rsidRPr="003276AF" w:rsidRDefault="00FF3F6F" w:rsidP="00B0581E">
      <w:pPr>
        <w:suppressAutoHyphens/>
        <w:ind w:right="720"/>
        <w:rPr>
          <w:sz w:val="24"/>
          <w:szCs w:val="24"/>
        </w:rPr>
      </w:pPr>
    </w:p>
    <w:p w14:paraId="701B469C" w14:textId="54CB169F" w:rsidR="00FF3F6F" w:rsidRPr="003276AF" w:rsidRDefault="00FF3F6F" w:rsidP="00B0581E">
      <w:pPr>
        <w:suppressAutoHyphens/>
        <w:ind w:right="720"/>
        <w:rPr>
          <w:sz w:val="24"/>
          <w:szCs w:val="24"/>
        </w:rPr>
      </w:pPr>
      <w:r w:rsidRPr="003276AF">
        <w:rPr>
          <w:sz w:val="24"/>
          <w:szCs w:val="24"/>
        </w:rPr>
        <w:t xml:space="preserve">The (department, board, office, council) uses accrual basis accounting for its Proprietary (Enterprise and Internal Service) and Fiduciary (Private-Purpose Trust, Investment Trust, Pension and Other Employee Benefit Trust, and </w:t>
      </w:r>
      <w:r w:rsidR="00F93EA9">
        <w:rPr>
          <w:sz w:val="24"/>
          <w:szCs w:val="24"/>
        </w:rPr>
        <w:t>Custodial</w:t>
      </w:r>
      <w:r w:rsidRPr="003276AF">
        <w:rPr>
          <w:sz w:val="24"/>
          <w:szCs w:val="24"/>
        </w:rPr>
        <w:t>) fund categories. Under the accrual basis, as defined by state accounting policy, the (department, board, office, council) records revenues in the accounting period when realizable, measurable, and earned, and records expenses in the period incurred when measurable.</w:t>
      </w:r>
    </w:p>
    <w:p w14:paraId="6170CAFA" w14:textId="77777777" w:rsidR="00FF3F6F" w:rsidRPr="003276AF" w:rsidRDefault="00FF3F6F" w:rsidP="00B0581E">
      <w:pPr>
        <w:suppressAutoHyphens/>
        <w:ind w:right="720"/>
        <w:rPr>
          <w:sz w:val="24"/>
          <w:szCs w:val="24"/>
        </w:rPr>
      </w:pPr>
    </w:p>
    <w:p w14:paraId="3F27BFD9" w14:textId="77777777" w:rsidR="00FF3F6F" w:rsidRPr="003276AF" w:rsidRDefault="00FF3F6F" w:rsidP="00B0581E">
      <w:pPr>
        <w:suppressAutoHyphens/>
        <w:ind w:right="720"/>
        <w:rPr>
          <w:sz w:val="24"/>
          <w:szCs w:val="24"/>
        </w:rPr>
      </w:pPr>
      <w:r w:rsidRPr="003276AF">
        <w:rPr>
          <w:sz w:val="24"/>
          <w:szCs w:val="24"/>
        </w:rPr>
        <w:t>Expenditures and expenses may include:</w:t>
      </w:r>
      <w:r w:rsidR="004C6E15" w:rsidRPr="003276AF">
        <w:rPr>
          <w:sz w:val="24"/>
          <w:szCs w:val="24"/>
        </w:rPr>
        <w:t xml:space="preserve"> </w:t>
      </w:r>
      <w:r w:rsidRPr="003276AF">
        <w:rPr>
          <w:sz w:val="24"/>
          <w:szCs w:val="24"/>
        </w:rPr>
        <w:t>entire budgeted service contracts even though the (department, board, office, council) receives the services in a subsequent fiscal year; goods ordered with a purchase order before fiscal year-end, but not received as of fiscal year-end; and equipment ordered with a purchase order before fiscal year-end.</w:t>
      </w:r>
    </w:p>
    <w:p w14:paraId="72F7B84D" w14:textId="77777777" w:rsidR="00FF3F6F" w:rsidRPr="003276AF" w:rsidRDefault="00FF3F6F" w:rsidP="00B0581E">
      <w:pPr>
        <w:suppressAutoHyphens/>
        <w:ind w:right="720"/>
        <w:rPr>
          <w:sz w:val="24"/>
          <w:szCs w:val="24"/>
        </w:rPr>
      </w:pPr>
    </w:p>
    <w:p w14:paraId="24666553" w14:textId="77777777" w:rsidR="00FF3F6F" w:rsidRPr="003276AF" w:rsidRDefault="00FF3F6F" w:rsidP="00B0581E">
      <w:pPr>
        <w:suppressAutoHyphens/>
        <w:ind w:right="720"/>
        <w:rPr>
          <w:sz w:val="24"/>
          <w:szCs w:val="24"/>
        </w:rPr>
      </w:pPr>
      <w:r w:rsidRPr="003276AF">
        <w:rPr>
          <w:sz w:val="24"/>
          <w:szCs w:val="24"/>
          <w:u w:val="single"/>
        </w:rPr>
        <w:t>Basis of Presentation</w:t>
      </w:r>
    </w:p>
    <w:p w14:paraId="0749E4AB" w14:textId="77777777" w:rsidR="00FF3F6F" w:rsidRPr="003276AF" w:rsidRDefault="00FF3F6F" w:rsidP="00B0581E">
      <w:pPr>
        <w:suppressAutoHyphens/>
        <w:ind w:right="720"/>
        <w:rPr>
          <w:sz w:val="24"/>
          <w:szCs w:val="24"/>
        </w:rPr>
      </w:pPr>
    </w:p>
    <w:p w14:paraId="38D61A7C" w14:textId="77777777" w:rsidR="00FF3F6F" w:rsidRPr="003276AF" w:rsidRDefault="00BC29DD" w:rsidP="00B0581E">
      <w:pPr>
        <w:suppressAutoHyphens/>
        <w:ind w:right="720"/>
        <w:rPr>
          <w:sz w:val="24"/>
          <w:szCs w:val="24"/>
        </w:rPr>
      </w:pPr>
      <w:r w:rsidRPr="003276AF">
        <w:rPr>
          <w:sz w:val="24"/>
          <w:szCs w:val="24"/>
        </w:rPr>
        <w:t xml:space="preserve">The financial schedule format was adopted by the Legislative Audit Committee. </w:t>
      </w:r>
      <w:r w:rsidR="00FF3F6F" w:rsidRPr="003276AF">
        <w:rPr>
          <w:sz w:val="24"/>
          <w:szCs w:val="24"/>
        </w:rPr>
        <w:t xml:space="preserve">The </w:t>
      </w:r>
      <w:r w:rsidR="00FF3F6F" w:rsidRPr="003276AF">
        <w:rPr>
          <w:sz w:val="24"/>
          <w:szCs w:val="24"/>
        </w:rPr>
        <w:lastRenderedPageBreak/>
        <w:t>financial schedules are prepared from the transactions posted to the state's accounting system without adjustment. (Consequently, these schedules do not agree in all cases to final state accounting system summary reports. These differences are explained in Note xx.)</w:t>
      </w:r>
    </w:p>
    <w:p w14:paraId="08C2E0E4" w14:textId="3348A624" w:rsidR="00FF3F6F" w:rsidRPr="003276AF" w:rsidRDefault="00FF3F6F" w:rsidP="00B0581E">
      <w:pPr>
        <w:suppressAutoHyphens/>
        <w:ind w:right="720"/>
        <w:rPr>
          <w:sz w:val="24"/>
          <w:szCs w:val="24"/>
        </w:rPr>
      </w:pPr>
    </w:p>
    <w:p w14:paraId="373A3623" w14:textId="77777777" w:rsidR="00FF3F6F" w:rsidRPr="003276AF" w:rsidRDefault="00FF3F6F" w:rsidP="00B0581E">
      <w:pPr>
        <w:suppressAutoHyphens/>
        <w:ind w:right="720"/>
        <w:rPr>
          <w:sz w:val="24"/>
          <w:szCs w:val="24"/>
        </w:rPr>
      </w:pPr>
      <w:r w:rsidRPr="003276AF">
        <w:rPr>
          <w:sz w:val="24"/>
          <w:szCs w:val="24"/>
        </w:rPr>
        <w:t>The (department, board, office, council) uses the following funds:</w:t>
      </w:r>
    </w:p>
    <w:p w14:paraId="4F3BB61B" w14:textId="77777777" w:rsidR="00FF3F6F" w:rsidRPr="003276AF" w:rsidRDefault="00FF3F6F" w:rsidP="00B0581E">
      <w:pPr>
        <w:suppressAutoHyphens/>
        <w:ind w:right="720"/>
        <w:rPr>
          <w:sz w:val="24"/>
          <w:szCs w:val="24"/>
        </w:rPr>
      </w:pPr>
    </w:p>
    <w:p w14:paraId="40C5F809" w14:textId="77777777" w:rsidR="00FF3F6F" w:rsidRPr="003276AF" w:rsidRDefault="00FF3F6F" w:rsidP="00B0581E">
      <w:pPr>
        <w:suppressAutoHyphens/>
        <w:ind w:right="720"/>
        <w:rPr>
          <w:sz w:val="24"/>
          <w:szCs w:val="24"/>
        </w:rPr>
      </w:pPr>
      <w:r w:rsidRPr="003276AF">
        <w:rPr>
          <w:sz w:val="24"/>
          <w:szCs w:val="24"/>
        </w:rPr>
        <w:t>Governmental Fund Category</w:t>
      </w:r>
    </w:p>
    <w:p w14:paraId="05C93D07" w14:textId="77777777" w:rsidR="00FF3F6F" w:rsidRPr="003276AF" w:rsidRDefault="00FF3F6F" w:rsidP="00B0581E">
      <w:pPr>
        <w:suppressAutoHyphens/>
        <w:ind w:right="720"/>
        <w:rPr>
          <w:sz w:val="24"/>
          <w:szCs w:val="24"/>
        </w:rPr>
      </w:pPr>
    </w:p>
    <w:p w14:paraId="1436DB29" w14:textId="77777777" w:rsidR="00FF3F6F" w:rsidRPr="003276AF" w:rsidRDefault="00FF3F6F" w:rsidP="00B0581E">
      <w:pPr>
        <w:suppressAutoHyphens/>
        <w:ind w:right="720"/>
        <w:rPr>
          <w:sz w:val="24"/>
          <w:szCs w:val="24"/>
        </w:rPr>
      </w:pPr>
      <w:r w:rsidRPr="003276AF">
        <w:rPr>
          <w:b/>
          <w:sz w:val="24"/>
          <w:szCs w:val="24"/>
        </w:rPr>
        <w:t>General Fund</w:t>
      </w:r>
      <w:r w:rsidRPr="003276AF">
        <w:rPr>
          <w:sz w:val="24"/>
          <w:szCs w:val="24"/>
        </w:rPr>
        <w:t xml:space="preserve"> – to account for all financial resources except those required to be accounted for in another fund.</w:t>
      </w:r>
    </w:p>
    <w:p w14:paraId="17826E6B" w14:textId="77777777" w:rsidR="00FF3F6F" w:rsidRPr="003276AF" w:rsidRDefault="00FF3F6F" w:rsidP="00B0581E">
      <w:pPr>
        <w:suppressAutoHyphens/>
        <w:ind w:right="720"/>
        <w:rPr>
          <w:sz w:val="24"/>
          <w:szCs w:val="24"/>
        </w:rPr>
      </w:pPr>
    </w:p>
    <w:p w14:paraId="01D2AD08" w14:textId="77645A17" w:rsidR="00FF3F6F" w:rsidRPr="003276AF" w:rsidRDefault="00FF3F6F" w:rsidP="00B0581E">
      <w:pPr>
        <w:suppressAutoHyphens/>
        <w:ind w:right="720"/>
        <w:rPr>
          <w:sz w:val="24"/>
          <w:szCs w:val="24"/>
        </w:rPr>
      </w:pPr>
      <w:r w:rsidRPr="003276AF">
        <w:rPr>
          <w:b/>
          <w:sz w:val="24"/>
          <w:szCs w:val="24"/>
        </w:rPr>
        <w:t xml:space="preserve">State Special Revenue Fund </w:t>
      </w:r>
      <w:r w:rsidRPr="003276AF">
        <w:rPr>
          <w:sz w:val="24"/>
          <w:szCs w:val="24"/>
        </w:rPr>
        <w:t>– to account for proceeds of specific revenue sources (other than private-purpose trusts or major capital projects) that are legally restricted to expenditures for specific state program purposes</w:t>
      </w:r>
      <w:r w:rsidR="00B0581E" w:rsidRPr="003276AF">
        <w:rPr>
          <w:color w:val="0000FF"/>
          <w:sz w:val="24"/>
          <w:szCs w:val="24"/>
        </w:rPr>
        <w:t xml:space="preserve">. </w:t>
      </w:r>
      <w:r w:rsidRPr="003276AF">
        <w:rPr>
          <w:sz w:val="24"/>
          <w:szCs w:val="24"/>
        </w:rPr>
        <w:t>(Department, board, office, council) State Special Revenue Funds include</w:t>
      </w:r>
      <w:r w:rsidR="00C01045" w:rsidRPr="003276AF">
        <w:rPr>
          <w:sz w:val="24"/>
          <w:szCs w:val="24"/>
        </w:rPr>
        <w:t>… (</w:t>
      </w:r>
      <w:r w:rsidR="00233957" w:rsidRPr="003276AF">
        <w:rPr>
          <w:sz w:val="24"/>
          <w:szCs w:val="24"/>
        </w:rPr>
        <w:t xml:space="preserve">to be </w:t>
      </w:r>
      <w:r w:rsidR="00CF5142" w:rsidRPr="003276AF">
        <w:rPr>
          <w:sz w:val="24"/>
          <w:szCs w:val="24"/>
        </w:rPr>
        <w:t xml:space="preserve">completed </w:t>
      </w:r>
      <w:r w:rsidR="00233957" w:rsidRPr="003276AF">
        <w:rPr>
          <w:sz w:val="24"/>
          <w:szCs w:val="24"/>
        </w:rPr>
        <w:t>by each agency as necessary).</w:t>
      </w:r>
    </w:p>
    <w:p w14:paraId="0A44BB31" w14:textId="77777777" w:rsidR="00FF3F6F" w:rsidRPr="003276AF" w:rsidRDefault="00FF3F6F" w:rsidP="00B0581E">
      <w:pPr>
        <w:suppressAutoHyphens/>
        <w:ind w:right="720"/>
        <w:rPr>
          <w:sz w:val="24"/>
          <w:szCs w:val="24"/>
        </w:rPr>
      </w:pPr>
    </w:p>
    <w:p w14:paraId="09CDEB86" w14:textId="3469EBAC" w:rsidR="00FF3F6F" w:rsidRPr="003276AF" w:rsidRDefault="00FF3F6F" w:rsidP="00B0581E">
      <w:pPr>
        <w:suppressAutoHyphens/>
        <w:ind w:right="720"/>
        <w:rPr>
          <w:sz w:val="24"/>
          <w:szCs w:val="24"/>
        </w:rPr>
      </w:pPr>
      <w:r w:rsidRPr="003276AF">
        <w:rPr>
          <w:b/>
          <w:bCs/>
          <w:sz w:val="24"/>
          <w:szCs w:val="24"/>
        </w:rPr>
        <w:t>Federal Special Revenue Fund</w:t>
      </w:r>
      <w:r w:rsidRPr="003276AF">
        <w:rPr>
          <w:sz w:val="24"/>
          <w:szCs w:val="24"/>
        </w:rPr>
        <w:t xml:space="preserve"> – to account for activities funded from federal revenue sources</w:t>
      </w:r>
      <w:r w:rsidR="00B0581E" w:rsidRPr="003276AF">
        <w:rPr>
          <w:sz w:val="24"/>
          <w:szCs w:val="24"/>
        </w:rPr>
        <w:t xml:space="preserve">. </w:t>
      </w:r>
      <w:r w:rsidRPr="003276AF">
        <w:rPr>
          <w:sz w:val="24"/>
          <w:szCs w:val="24"/>
        </w:rPr>
        <w:t>(Department, board, office, council) Federal Special Revenue Funds include</w:t>
      </w:r>
      <w:r w:rsidR="00C01045" w:rsidRPr="003276AF">
        <w:rPr>
          <w:sz w:val="24"/>
          <w:szCs w:val="24"/>
        </w:rPr>
        <w:t>… (</w:t>
      </w:r>
      <w:r w:rsidR="00233957" w:rsidRPr="003276AF">
        <w:rPr>
          <w:sz w:val="24"/>
          <w:szCs w:val="24"/>
        </w:rPr>
        <w:t xml:space="preserve">to be </w:t>
      </w:r>
      <w:r w:rsidR="00CF5142" w:rsidRPr="003276AF">
        <w:rPr>
          <w:sz w:val="24"/>
          <w:szCs w:val="24"/>
        </w:rPr>
        <w:t xml:space="preserve">completed </w:t>
      </w:r>
      <w:r w:rsidR="00233957" w:rsidRPr="003276AF">
        <w:rPr>
          <w:sz w:val="24"/>
          <w:szCs w:val="24"/>
        </w:rPr>
        <w:t>by each agency as necessary).</w:t>
      </w:r>
    </w:p>
    <w:p w14:paraId="3BD117F0" w14:textId="77777777" w:rsidR="00FF3F6F" w:rsidRPr="003276AF" w:rsidRDefault="00FF3F6F" w:rsidP="00B0581E">
      <w:pPr>
        <w:suppressAutoHyphens/>
        <w:ind w:right="720"/>
        <w:rPr>
          <w:sz w:val="24"/>
          <w:szCs w:val="24"/>
        </w:rPr>
      </w:pPr>
    </w:p>
    <w:p w14:paraId="5F901979" w14:textId="652438E9" w:rsidR="00FF3F6F" w:rsidRPr="003276AF" w:rsidRDefault="00FF3F6F" w:rsidP="00B0581E">
      <w:pPr>
        <w:suppressAutoHyphens/>
        <w:ind w:right="720"/>
        <w:rPr>
          <w:sz w:val="24"/>
          <w:szCs w:val="24"/>
        </w:rPr>
      </w:pPr>
      <w:r w:rsidRPr="003276AF">
        <w:rPr>
          <w:b/>
          <w:sz w:val="24"/>
          <w:szCs w:val="24"/>
        </w:rPr>
        <w:t>Debt Service Fund</w:t>
      </w:r>
      <w:r w:rsidRPr="003276AF">
        <w:rPr>
          <w:sz w:val="24"/>
          <w:szCs w:val="24"/>
        </w:rPr>
        <w:t xml:space="preserve"> – to account for accumulated resources for the payment of general long-term debt principal and interest</w:t>
      </w:r>
      <w:r w:rsidR="00B0581E" w:rsidRPr="003276AF">
        <w:rPr>
          <w:sz w:val="24"/>
          <w:szCs w:val="24"/>
        </w:rPr>
        <w:t xml:space="preserve">. </w:t>
      </w:r>
      <w:r w:rsidRPr="003276AF">
        <w:rPr>
          <w:sz w:val="24"/>
          <w:szCs w:val="24"/>
        </w:rPr>
        <w:t>The (department, board, office, council) uses this fund for</w:t>
      </w:r>
      <w:r w:rsidR="00C01045" w:rsidRPr="003276AF">
        <w:rPr>
          <w:sz w:val="24"/>
          <w:szCs w:val="24"/>
        </w:rPr>
        <w:t>… (</w:t>
      </w:r>
      <w:r w:rsidR="00233957" w:rsidRPr="003276AF">
        <w:rPr>
          <w:sz w:val="24"/>
          <w:szCs w:val="24"/>
        </w:rPr>
        <w:t xml:space="preserve">to be </w:t>
      </w:r>
      <w:r w:rsidR="00CF5142" w:rsidRPr="003276AF">
        <w:rPr>
          <w:sz w:val="24"/>
          <w:szCs w:val="24"/>
        </w:rPr>
        <w:t xml:space="preserve">completed </w:t>
      </w:r>
      <w:r w:rsidR="00233957" w:rsidRPr="003276AF">
        <w:rPr>
          <w:sz w:val="24"/>
          <w:szCs w:val="24"/>
        </w:rPr>
        <w:t>by each agency as necessary).</w:t>
      </w:r>
    </w:p>
    <w:p w14:paraId="362E0E40" w14:textId="77777777" w:rsidR="00FF3F6F" w:rsidRPr="003276AF" w:rsidRDefault="00FF3F6F" w:rsidP="00B0581E">
      <w:pPr>
        <w:suppressAutoHyphens/>
        <w:ind w:right="720"/>
        <w:rPr>
          <w:sz w:val="24"/>
          <w:szCs w:val="24"/>
        </w:rPr>
      </w:pPr>
    </w:p>
    <w:p w14:paraId="1FE5782E" w14:textId="45C222A1" w:rsidR="00FF3F6F" w:rsidRPr="003276AF" w:rsidRDefault="00FF3F6F" w:rsidP="00B0581E">
      <w:pPr>
        <w:suppressAutoHyphens/>
        <w:ind w:right="720"/>
        <w:rPr>
          <w:sz w:val="24"/>
          <w:szCs w:val="24"/>
        </w:rPr>
      </w:pPr>
      <w:r w:rsidRPr="003276AF">
        <w:rPr>
          <w:b/>
          <w:sz w:val="24"/>
          <w:szCs w:val="24"/>
        </w:rPr>
        <w:t xml:space="preserve">Capital Projects Fund </w:t>
      </w:r>
      <w:r w:rsidRPr="003276AF">
        <w:rPr>
          <w:sz w:val="24"/>
          <w:szCs w:val="24"/>
        </w:rPr>
        <w:t>– to account for financial resources used for the acquisition or construction of major capital facilities, other than those financed by proprietary funds or trust funds</w:t>
      </w:r>
      <w:r w:rsidR="00B0581E" w:rsidRPr="003276AF">
        <w:rPr>
          <w:sz w:val="24"/>
          <w:szCs w:val="24"/>
        </w:rPr>
        <w:t xml:space="preserve">. </w:t>
      </w:r>
      <w:r w:rsidRPr="003276AF">
        <w:rPr>
          <w:sz w:val="24"/>
          <w:szCs w:val="24"/>
        </w:rPr>
        <w:t>The (department, board, office, council) uses this fund for</w:t>
      </w:r>
      <w:r w:rsidR="00C01045" w:rsidRPr="003276AF">
        <w:rPr>
          <w:sz w:val="24"/>
          <w:szCs w:val="24"/>
        </w:rPr>
        <w:t>… (</w:t>
      </w:r>
      <w:r w:rsidR="00233957" w:rsidRPr="003276AF">
        <w:rPr>
          <w:sz w:val="24"/>
          <w:szCs w:val="24"/>
        </w:rPr>
        <w:t xml:space="preserve">to be </w:t>
      </w:r>
      <w:r w:rsidR="00CF5142" w:rsidRPr="003276AF">
        <w:rPr>
          <w:sz w:val="24"/>
          <w:szCs w:val="24"/>
        </w:rPr>
        <w:t xml:space="preserve">completed </w:t>
      </w:r>
      <w:r w:rsidR="00233957" w:rsidRPr="003276AF">
        <w:rPr>
          <w:sz w:val="24"/>
          <w:szCs w:val="24"/>
        </w:rPr>
        <w:t>by each agency as necessary).</w:t>
      </w:r>
    </w:p>
    <w:p w14:paraId="414048C3" w14:textId="77777777" w:rsidR="00FF3F6F" w:rsidRPr="003276AF" w:rsidRDefault="00FF3F6F" w:rsidP="00B0581E">
      <w:pPr>
        <w:suppressAutoHyphens/>
        <w:ind w:right="720"/>
        <w:rPr>
          <w:sz w:val="24"/>
          <w:szCs w:val="24"/>
        </w:rPr>
      </w:pPr>
    </w:p>
    <w:p w14:paraId="5A3448B0" w14:textId="24DF903A" w:rsidR="00FF3F6F" w:rsidRPr="003276AF" w:rsidRDefault="00FF3F6F" w:rsidP="00B0581E">
      <w:pPr>
        <w:suppressAutoHyphens/>
        <w:ind w:right="720"/>
        <w:rPr>
          <w:sz w:val="24"/>
          <w:szCs w:val="24"/>
        </w:rPr>
      </w:pPr>
      <w:r w:rsidRPr="003276AF">
        <w:rPr>
          <w:b/>
          <w:bCs/>
          <w:sz w:val="24"/>
          <w:szCs w:val="24"/>
        </w:rPr>
        <w:t>Permanent Fund</w:t>
      </w:r>
      <w:r w:rsidRPr="003276AF">
        <w:rPr>
          <w:sz w:val="24"/>
          <w:szCs w:val="24"/>
        </w:rPr>
        <w:t xml:space="preserve"> – to account for financial resources that are permanently restricted to the extent that only earnings, and not principal, may be used for purposes that support the (department’s, board’s, office, council’s) programs</w:t>
      </w:r>
      <w:r w:rsidR="00B0581E" w:rsidRPr="003276AF">
        <w:rPr>
          <w:color w:val="0000FF"/>
          <w:sz w:val="24"/>
          <w:szCs w:val="24"/>
        </w:rPr>
        <w:t xml:space="preserve">. </w:t>
      </w:r>
      <w:r w:rsidRPr="003276AF">
        <w:rPr>
          <w:sz w:val="24"/>
          <w:szCs w:val="24"/>
        </w:rPr>
        <w:t>The (department, board, offi</w:t>
      </w:r>
      <w:r w:rsidR="00233957" w:rsidRPr="003276AF">
        <w:rPr>
          <w:sz w:val="24"/>
          <w:szCs w:val="24"/>
        </w:rPr>
        <w:t>ce, council) uses this fund for</w:t>
      </w:r>
      <w:r w:rsidR="00C01045" w:rsidRPr="003276AF">
        <w:rPr>
          <w:sz w:val="24"/>
          <w:szCs w:val="24"/>
        </w:rPr>
        <w:t>… (</w:t>
      </w:r>
      <w:r w:rsidR="00233957" w:rsidRPr="003276AF">
        <w:rPr>
          <w:sz w:val="24"/>
          <w:szCs w:val="24"/>
        </w:rPr>
        <w:t xml:space="preserve">to be </w:t>
      </w:r>
      <w:r w:rsidR="00CF5142" w:rsidRPr="003276AF">
        <w:rPr>
          <w:sz w:val="24"/>
          <w:szCs w:val="24"/>
        </w:rPr>
        <w:t xml:space="preserve">completed </w:t>
      </w:r>
      <w:r w:rsidR="00233957" w:rsidRPr="003276AF">
        <w:rPr>
          <w:sz w:val="24"/>
          <w:szCs w:val="24"/>
        </w:rPr>
        <w:t>by each agency as necessary).</w:t>
      </w:r>
    </w:p>
    <w:p w14:paraId="22D57EB3" w14:textId="77777777" w:rsidR="00FF3F6F" w:rsidRPr="003276AF" w:rsidRDefault="00FF3F6F" w:rsidP="00B0581E">
      <w:pPr>
        <w:suppressAutoHyphens/>
        <w:ind w:right="720"/>
        <w:rPr>
          <w:sz w:val="24"/>
          <w:szCs w:val="24"/>
        </w:rPr>
      </w:pPr>
    </w:p>
    <w:p w14:paraId="736A6F0B" w14:textId="77777777" w:rsidR="00FF3F6F" w:rsidRPr="003276AF" w:rsidRDefault="00FF3F6F" w:rsidP="00B0581E">
      <w:pPr>
        <w:suppressAutoHyphens/>
        <w:ind w:right="720"/>
        <w:rPr>
          <w:sz w:val="24"/>
          <w:szCs w:val="24"/>
        </w:rPr>
      </w:pPr>
      <w:r w:rsidRPr="003276AF">
        <w:rPr>
          <w:sz w:val="24"/>
          <w:szCs w:val="24"/>
        </w:rPr>
        <w:t>Proprietary Fund Category</w:t>
      </w:r>
    </w:p>
    <w:p w14:paraId="5532E6EA" w14:textId="77777777" w:rsidR="00FF3F6F" w:rsidRPr="003276AF" w:rsidRDefault="00FF3F6F" w:rsidP="00B0581E">
      <w:pPr>
        <w:suppressAutoHyphens/>
        <w:ind w:right="720"/>
        <w:rPr>
          <w:sz w:val="24"/>
          <w:szCs w:val="24"/>
        </w:rPr>
      </w:pPr>
    </w:p>
    <w:p w14:paraId="1CD18AD5" w14:textId="685897D5" w:rsidR="00FF3F6F" w:rsidRPr="003276AF" w:rsidRDefault="00FF3F6F" w:rsidP="00B0581E">
      <w:pPr>
        <w:suppressAutoHyphens/>
        <w:ind w:right="720"/>
        <w:rPr>
          <w:sz w:val="24"/>
          <w:szCs w:val="24"/>
        </w:rPr>
      </w:pPr>
      <w:r w:rsidRPr="003276AF">
        <w:rPr>
          <w:b/>
          <w:sz w:val="24"/>
          <w:szCs w:val="24"/>
        </w:rPr>
        <w:t>Internal Service Fund</w:t>
      </w:r>
      <w:r w:rsidRPr="003276AF">
        <w:rPr>
          <w:sz w:val="24"/>
          <w:szCs w:val="24"/>
        </w:rPr>
        <w:t xml:space="preserve"> – to account for the financing of goods or services provided by one department or agency to other departments or agencies of state government or to other governmental entities on a cost-reimbursement basis</w:t>
      </w:r>
      <w:r w:rsidR="00B0581E" w:rsidRPr="003276AF">
        <w:rPr>
          <w:sz w:val="24"/>
          <w:szCs w:val="24"/>
        </w:rPr>
        <w:t xml:space="preserve">. </w:t>
      </w:r>
      <w:r w:rsidRPr="003276AF">
        <w:rPr>
          <w:sz w:val="24"/>
          <w:szCs w:val="24"/>
        </w:rPr>
        <w:t>(Department, board, office, council) Internal Service Funds include</w:t>
      </w:r>
      <w:r w:rsidR="00C01045" w:rsidRPr="003276AF">
        <w:rPr>
          <w:sz w:val="24"/>
          <w:szCs w:val="24"/>
        </w:rPr>
        <w:t>… (</w:t>
      </w:r>
      <w:r w:rsidR="00233957" w:rsidRPr="003276AF">
        <w:rPr>
          <w:sz w:val="24"/>
          <w:szCs w:val="24"/>
        </w:rPr>
        <w:t>to be</w:t>
      </w:r>
      <w:r w:rsidR="00CF5142" w:rsidRPr="003276AF">
        <w:rPr>
          <w:sz w:val="24"/>
          <w:szCs w:val="24"/>
        </w:rPr>
        <w:t xml:space="preserve"> completed</w:t>
      </w:r>
      <w:r w:rsidR="00233957" w:rsidRPr="003276AF">
        <w:rPr>
          <w:sz w:val="24"/>
          <w:szCs w:val="24"/>
        </w:rPr>
        <w:t xml:space="preserve"> by each agency as necessary).</w:t>
      </w:r>
    </w:p>
    <w:p w14:paraId="2DC7CF78" w14:textId="77777777" w:rsidR="00FF3F6F" w:rsidRPr="003276AF" w:rsidRDefault="00FF3F6F" w:rsidP="00B0581E">
      <w:pPr>
        <w:suppressAutoHyphens/>
        <w:ind w:right="720"/>
        <w:rPr>
          <w:sz w:val="24"/>
          <w:szCs w:val="24"/>
        </w:rPr>
      </w:pPr>
    </w:p>
    <w:p w14:paraId="656EEA03" w14:textId="7B6AC2FF" w:rsidR="00FF3F6F" w:rsidRPr="003276AF" w:rsidRDefault="00FF3F6F" w:rsidP="00B0581E">
      <w:pPr>
        <w:suppressAutoHyphens/>
        <w:ind w:right="720"/>
        <w:rPr>
          <w:sz w:val="24"/>
          <w:szCs w:val="24"/>
        </w:rPr>
      </w:pPr>
      <w:r w:rsidRPr="003276AF">
        <w:rPr>
          <w:b/>
          <w:sz w:val="24"/>
          <w:szCs w:val="24"/>
        </w:rPr>
        <w:t>Enterprise Fund</w:t>
      </w:r>
      <w:r w:rsidRPr="003276AF">
        <w:rPr>
          <w:sz w:val="24"/>
          <w:szCs w:val="24"/>
        </w:rPr>
        <w:t xml:space="preserve"> – to account for operations (a) financed and operated in a manner similar to private business enterprises, where the Legislature intends that the department finance or recover costs primarily through user charges; (b) where the Legislature has decided that periodic determination of revenues earned, expenses incurred or net income </w:t>
      </w:r>
      <w:r w:rsidRPr="003276AF">
        <w:rPr>
          <w:sz w:val="24"/>
          <w:szCs w:val="24"/>
        </w:rPr>
        <w:lastRenderedPageBreak/>
        <w:t>is appropriate;</w:t>
      </w:r>
      <w:r w:rsidRPr="003276AF">
        <w:rPr>
          <w:color w:val="FF0000"/>
          <w:sz w:val="24"/>
          <w:szCs w:val="24"/>
        </w:rPr>
        <w:t xml:space="preserve"> </w:t>
      </w:r>
      <w:r w:rsidRPr="003276AF">
        <w:rPr>
          <w:sz w:val="24"/>
          <w:szCs w:val="24"/>
        </w:rPr>
        <w:t>(c) where the activity is financed solely by a pledge of the net revenues from fees and charges of the activity; or (d) when laws or regulations require that the activities’ cost of providing services, including capital costs, be recovered with fees and c</w:t>
      </w:r>
      <w:r w:rsidR="001C7EAF" w:rsidRPr="003276AF">
        <w:rPr>
          <w:sz w:val="24"/>
          <w:szCs w:val="24"/>
        </w:rPr>
        <w:t>harges rather than with taxes or</w:t>
      </w:r>
      <w:r w:rsidRPr="003276AF">
        <w:rPr>
          <w:sz w:val="24"/>
          <w:szCs w:val="24"/>
        </w:rPr>
        <w:t xml:space="preserve"> similar revenues.</w:t>
      </w:r>
      <w:r w:rsidRPr="003276AF">
        <w:rPr>
          <w:color w:val="FF0000"/>
          <w:sz w:val="24"/>
          <w:szCs w:val="24"/>
        </w:rPr>
        <w:t xml:space="preserve"> </w:t>
      </w:r>
      <w:r w:rsidRPr="003276AF">
        <w:rPr>
          <w:sz w:val="24"/>
          <w:szCs w:val="24"/>
        </w:rPr>
        <w:t>(Department, board, office, council) Enterprise Funds include</w:t>
      </w:r>
      <w:r w:rsidR="00C01045" w:rsidRPr="003276AF">
        <w:rPr>
          <w:sz w:val="24"/>
          <w:szCs w:val="24"/>
        </w:rPr>
        <w:t>… (</w:t>
      </w:r>
      <w:r w:rsidR="00233957" w:rsidRPr="003276AF">
        <w:rPr>
          <w:sz w:val="24"/>
          <w:szCs w:val="24"/>
        </w:rPr>
        <w:t xml:space="preserve">to be </w:t>
      </w:r>
      <w:r w:rsidR="00CF5142" w:rsidRPr="003276AF">
        <w:rPr>
          <w:sz w:val="24"/>
          <w:szCs w:val="24"/>
        </w:rPr>
        <w:t xml:space="preserve">completed </w:t>
      </w:r>
      <w:r w:rsidR="00233957" w:rsidRPr="003276AF">
        <w:rPr>
          <w:sz w:val="24"/>
          <w:szCs w:val="24"/>
        </w:rPr>
        <w:t>by each agency as necessary).</w:t>
      </w:r>
    </w:p>
    <w:p w14:paraId="0D2D65DF" w14:textId="77777777" w:rsidR="00187313" w:rsidRDefault="00187313" w:rsidP="00B0581E">
      <w:pPr>
        <w:suppressAutoHyphens/>
        <w:ind w:right="720"/>
        <w:rPr>
          <w:sz w:val="24"/>
          <w:szCs w:val="24"/>
        </w:rPr>
      </w:pPr>
    </w:p>
    <w:p w14:paraId="6B145080" w14:textId="6B433AA3" w:rsidR="00FF3F6F" w:rsidRPr="003276AF" w:rsidRDefault="00FF3F6F" w:rsidP="00B0581E">
      <w:pPr>
        <w:suppressAutoHyphens/>
        <w:ind w:right="720"/>
        <w:rPr>
          <w:sz w:val="24"/>
          <w:szCs w:val="24"/>
        </w:rPr>
      </w:pPr>
      <w:r w:rsidRPr="003276AF">
        <w:rPr>
          <w:sz w:val="24"/>
          <w:szCs w:val="24"/>
        </w:rPr>
        <w:t>Fiduciary Fund Category</w:t>
      </w:r>
    </w:p>
    <w:p w14:paraId="05612F6C" w14:textId="77777777" w:rsidR="00FF3F6F" w:rsidRPr="003276AF" w:rsidRDefault="00FF3F6F" w:rsidP="00B0581E">
      <w:pPr>
        <w:suppressAutoHyphens/>
        <w:ind w:right="720"/>
        <w:rPr>
          <w:sz w:val="24"/>
          <w:szCs w:val="24"/>
        </w:rPr>
      </w:pPr>
    </w:p>
    <w:p w14:paraId="7C64EB84" w14:textId="6CD76E0F" w:rsidR="00FF3F6F" w:rsidRPr="003276AF" w:rsidRDefault="00FF3F6F" w:rsidP="00B0581E">
      <w:pPr>
        <w:suppressAutoHyphens/>
        <w:ind w:right="720"/>
        <w:rPr>
          <w:sz w:val="24"/>
          <w:szCs w:val="24"/>
        </w:rPr>
      </w:pPr>
      <w:r w:rsidRPr="003276AF">
        <w:rPr>
          <w:b/>
          <w:bCs/>
          <w:sz w:val="24"/>
          <w:szCs w:val="24"/>
        </w:rPr>
        <w:t>Pension and Other Employee Benefit</w:t>
      </w:r>
      <w:r w:rsidRPr="003276AF">
        <w:rPr>
          <w:sz w:val="24"/>
          <w:szCs w:val="24"/>
        </w:rPr>
        <w:t xml:space="preserve"> </w:t>
      </w:r>
      <w:r w:rsidRPr="003276AF">
        <w:rPr>
          <w:b/>
          <w:bCs/>
          <w:sz w:val="24"/>
          <w:szCs w:val="24"/>
        </w:rPr>
        <w:t>Trust Funds</w:t>
      </w:r>
      <w:r w:rsidRPr="003276AF">
        <w:rPr>
          <w:sz w:val="24"/>
          <w:szCs w:val="24"/>
        </w:rPr>
        <w:t xml:space="preserve"> – to account for resources required to be held in trust for the members and beneficiaries of defined benefit pension plans, defined contribution plans, other post employment benefit plans, or other employee benefit plans</w:t>
      </w:r>
      <w:r w:rsidR="00B0581E" w:rsidRPr="003276AF">
        <w:rPr>
          <w:sz w:val="24"/>
          <w:szCs w:val="24"/>
        </w:rPr>
        <w:t xml:space="preserve">. </w:t>
      </w:r>
      <w:r w:rsidRPr="003276AF">
        <w:rPr>
          <w:sz w:val="24"/>
          <w:szCs w:val="24"/>
        </w:rPr>
        <w:t>(Department, board, office, council) pension trust funds include</w:t>
      </w:r>
      <w:r w:rsidR="00C01045" w:rsidRPr="003276AF">
        <w:rPr>
          <w:sz w:val="24"/>
          <w:szCs w:val="24"/>
        </w:rPr>
        <w:t>… (</w:t>
      </w:r>
      <w:r w:rsidR="00233957" w:rsidRPr="003276AF">
        <w:rPr>
          <w:sz w:val="24"/>
          <w:szCs w:val="24"/>
        </w:rPr>
        <w:t xml:space="preserve">to be </w:t>
      </w:r>
      <w:r w:rsidR="00CF5142" w:rsidRPr="003276AF">
        <w:rPr>
          <w:sz w:val="24"/>
          <w:szCs w:val="24"/>
        </w:rPr>
        <w:t xml:space="preserve">completed </w:t>
      </w:r>
      <w:r w:rsidR="00233957" w:rsidRPr="003276AF">
        <w:rPr>
          <w:sz w:val="24"/>
          <w:szCs w:val="24"/>
        </w:rPr>
        <w:t>by each agency as necessary).</w:t>
      </w:r>
    </w:p>
    <w:p w14:paraId="46AC2A61" w14:textId="77777777" w:rsidR="00FF3F6F" w:rsidRPr="003276AF" w:rsidRDefault="00FF3F6F" w:rsidP="00B0581E">
      <w:pPr>
        <w:suppressAutoHyphens/>
        <w:ind w:right="720"/>
        <w:rPr>
          <w:sz w:val="24"/>
          <w:szCs w:val="24"/>
        </w:rPr>
      </w:pPr>
    </w:p>
    <w:p w14:paraId="55E295CA" w14:textId="7C51795B" w:rsidR="00FF3F6F" w:rsidRPr="003276AF" w:rsidRDefault="00FF3F6F" w:rsidP="00B0581E">
      <w:pPr>
        <w:suppressAutoHyphens/>
        <w:ind w:right="720"/>
        <w:rPr>
          <w:sz w:val="24"/>
          <w:szCs w:val="24"/>
        </w:rPr>
      </w:pPr>
      <w:r w:rsidRPr="003276AF">
        <w:rPr>
          <w:b/>
          <w:bCs/>
          <w:sz w:val="24"/>
          <w:szCs w:val="24"/>
        </w:rPr>
        <w:t>Investment Trust Fund</w:t>
      </w:r>
      <w:r w:rsidRPr="003276AF">
        <w:rPr>
          <w:sz w:val="24"/>
          <w:szCs w:val="24"/>
        </w:rPr>
        <w:t xml:space="preserve"> – to account for situations where legally separate governments commingle their investments in a pool for the benefit of all participants</w:t>
      </w:r>
      <w:r w:rsidR="00B0581E" w:rsidRPr="003276AF">
        <w:rPr>
          <w:sz w:val="24"/>
          <w:szCs w:val="24"/>
        </w:rPr>
        <w:t>.</w:t>
      </w:r>
      <w:r w:rsidR="00B0581E" w:rsidRPr="003276AF">
        <w:rPr>
          <w:color w:val="0000FF"/>
          <w:sz w:val="24"/>
          <w:szCs w:val="24"/>
        </w:rPr>
        <w:t xml:space="preserve"> </w:t>
      </w:r>
      <w:r w:rsidRPr="003276AF">
        <w:rPr>
          <w:sz w:val="24"/>
          <w:szCs w:val="24"/>
        </w:rPr>
        <w:t>The (department, board, office, council) investment trust funds include</w:t>
      </w:r>
      <w:r w:rsidR="00C01045" w:rsidRPr="003276AF">
        <w:rPr>
          <w:sz w:val="24"/>
          <w:szCs w:val="24"/>
        </w:rPr>
        <w:t>… (</w:t>
      </w:r>
      <w:r w:rsidR="00233957" w:rsidRPr="003276AF">
        <w:rPr>
          <w:sz w:val="24"/>
          <w:szCs w:val="24"/>
        </w:rPr>
        <w:t xml:space="preserve">to be </w:t>
      </w:r>
      <w:r w:rsidR="00CF5142" w:rsidRPr="003276AF">
        <w:rPr>
          <w:sz w:val="24"/>
          <w:szCs w:val="24"/>
        </w:rPr>
        <w:t xml:space="preserve">completed </w:t>
      </w:r>
      <w:r w:rsidR="00233957" w:rsidRPr="003276AF">
        <w:rPr>
          <w:sz w:val="24"/>
          <w:szCs w:val="24"/>
        </w:rPr>
        <w:t>by each agency as necessary).</w:t>
      </w:r>
    </w:p>
    <w:p w14:paraId="70995C51" w14:textId="77777777" w:rsidR="00FF3F6F" w:rsidRPr="003276AF" w:rsidRDefault="00FF3F6F" w:rsidP="00B0581E">
      <w:pPr>
        <w:suppressAutoHyphens/>
        <w:ind w:right="720"/>
        <w:rPr>
          <w:sz w:val="24"/>
          <w:szCs w:val="24"/>
        </w:rPr>
      </w:pPr>
    </w:p>
    <w:p w14:paraId="46778BE2" w14:textId="68A67F6D" w:rsidR="00FF3F6F" w:rsidRPr="003276AF" w:rsidRDefault="00FF3F6F" w:rsidP="00B0581E">
      <w:pPr>
        <w:suppressAutoHyphens/>
        <w:ind w:right="720"/>
        <w:rPr>
          <w:sz w:val="24"/>
          <w:szCs w:val="24"/>
        </w:rPr>
      </w:pPr>
      <w:r w:rsidRPr="003276AF">
        <w:rPr>
          <w:b/>
          <w:bCs/>
          <w:sz w:val="24"/>
          <w:szCs w:val="24"/>
        </w:rPr>
        <w:t>Private-Purpose Trust Fund</w:t>
      </w:r>
      <w:r w:rsidRPr="003276AF">
        <w:rPr>
          <w:sz w:val="24"/>
          <w:szCs w:val="24"/>
        </w:rPr>
        <w:t xml:space="preserve"> – to account for </w:t>
      </w:r>
      <w:r w:rsidR="00187313">
        <w:rPr>
          <w:sz w:val="24"/>
          <w:szCs w:val="24"/>
        </w:rPr>
        <w:t xml:space="preserve">all fiduciary </w:t>
      </w:r>
      <w:r w:rsidRPr="003276AF">
        <w:rPr>
          <w:sz w:val="24"/>
          <w:szCs w:val="24"/>
        </w:rPr>
        <w:t>activit</w:t>
      </w:r>
      <w:r w:rsidR="00187313">
        <w:rPr>
          <w:sz w:val="24"/>
          <w:szCs w:val="24"/>
        </w:rPr>
        <w:t>ies</w:t>
      </w:r>
      <w:r w:rsidRPr="003276AF">
        <w:rPr>
          <w:sz w:val="24"/>
          <w:szCs w:val="24"/>
        </w:rPr>
        <w:t xml:space="preserve"> </w:t>
      </w:r>
      <w:r w:rsidR="00187313">
        <w:rPr>
          <w:sz w:val="24"/>
          <w:szCs w:val="24"/>
        </w:rPr>
        <w:t xml:space="preserve">that are (a) not required to be </w:t>
      </w:r>
      <w:r w:rsidRPr="003276AF">
        <w:rPr>
          <w:sz w:val="24"/>
          <w:szCs w:val="24"/>
        </w:rPr>
        <w:t xml:space="preserve">reported in pension </w:t>
      </w:r>
      <w:r w:rsidR="00187313">
        <w:rPr>
          <w:sz w:val="24"/>
          <w:szCs w:val="24"/>
        </w:rPr>
        <w:t xml:space="preserve">(and other employee benefit) trust </w:t>
      </w:r>
      <w:r w:rsidRPr="003276AF">
        <w:rPr>
          <w:sz w:val="24"/>
          <w:szCs w:val="24"/>
        </w:rPr>
        <w:t>fund</w:t>
      </w:r>
      <w:r w:rsidR="00187313">
        <w:rPr>
          <w:sz w:val="24"/>
          <w:szCs w:val="24"/>
        </w:rPr>
        <w:t>s</w:t>
      </w:r>
      <w:r w:rsidRPr="003276AF">
        <w:rPr>
          <w:sz w:val="24"/>
          <w:szCs w:val="24"/>
        </w:rPr>
        <w:t xml:space="preserve"> or investment trust fund</w:t>
      </w:r>
      <w:r w:rsidR="00187313">
        <w:rPr>
          <w:sz w:val="24"/>
          <w:szCs w:val="24"/>
        </w:rPr>
        <w:t>s</w:t>
      </w:r>
      <w:r w:rsidRPr="003276AF">
        <w:rPr>
          <w:sz w:val="24"/>
          <w:szCs w:val="24"/>
        </w:rPr>
        <w:t xml:space="preserve"> </w:t>
      </w:r>
      <w:r w:rsidR="00187313">
        <w:rPr>
          <w:sz w:val="24"/>
          <w:szCs w:val="24"/>
        </w:rPr>
        <w:t xml:space="preserve">and (b) are held </w:t>
      </w:r>
      <w:r w:rsidR="00C01045">
        <w:rPr>
          <w:sz w:val="24"/>
          <w:szCs w:val="24"/>
        </w:rPr>
        <w:t>in a</w:t>
      </w:r>
      <w:r w:rsidR="00187313">
        <w:rPr>
          <w:sz w:val="24"/>
          <w:szCs w:val="24"/>
        </w:rPr>
        <w:t xml:space="preserve"> trust (or trust equivalent</w:t>
      </w:r>
      <w:r w:rsidR="0090378B">
        <w:rPr>
          <w:sz w:val="24"/>
          <w:szCs w:val="24"/>
        </w:rPr>
        <w:t xml:space="preserve"> arrangement</w:t>
      </w:r>
      <w:r w:rsidR="00187313">
        <w:rPr>
          <w:sz w:val="24"/>
          <w:szCs w:val="24"/>
        </w:rPr>
        <w:t xml:space="preserve">), </w:t>
      </w:r>
      <w:r w:rsidRPr="003276AF">
        <w:rPr>
          <w:sz w:val="24"/>
          <w:szCs w:val="24"/>
        </w:rPr>
        <w:t>where the principal and income benefit individuals, private organizations, or other governments</w:t>
      </w:r>
      <w:r w:rsidR="00B0581E" w:rsidRPr="003276AF">
        <w:rPr>
          <w:sz w:val="24"/>
          <w:szCs w:val="24"/>
        </w:rPr>
        <w:t xml:space="preserve">. </w:t>
      </w:r>
      <w:r w:rsidRPr="003276AF">
        <w:rPr>
          <w:sz w:val="24"/>
          <w:szCs w:val="24"/>
        </w:rPr>
        <w:t>(Department, board, office, council) private-purpose trust funds include</w:t>
      </w:r>
      <w:r w:rsidR="00C01045" w:rsidRPr="003276AF">
        <w:rPr>
          <w:sz w:val="24"/>
          <w:szCs w:val="24"/>
        </w:rPr>
        <w:t>… (</w:t>
      </w:r>
      <w:r w:rsidR="00233957" w:rsidRPr="003276AF">
        <w:rPr>
          <w:sz w:val="24"/>
          <w:szCs w:val="24"/>
        </w:rPr>
        <w:t xml:space="preserve">to be </w:t>
      </w:r>
      <w:r w:rsidR="00CF5142" w:rsidRPr="003276AF">
        <w:rPr>
          <w:sz w:val="24"/>
          <w:szCs w:val="24"/>
        </w:rPr>
        <w:t xml:space="preserve">completed </w:t>
      </w:r>
      <w:r w:rsidR="00233957" w:rsidRPr="003276AF">
        <w:rPr>
          <w:sz w:val="24"/>
          <w:szCs w:val="24"/>
        </w:rPr>
        <w:t>by each agency as necessary).</w:t>
      </w:r>
    </w:p>
    <w:p w14:paraId="733E2BB3" w14:textId="77777777" w:rsidR="00FF3F6F" w:rsidRPr="003276AF" w:rsidRDefault="00FF3F6F" w:rsidP="00B0581E">
      <w:pPr>
        <w:suppressAutoHyphens/>
        <w:ind w:right="720"/>
        <w:rPr>
          <w:sz w:val="24"/>
          <w:szCs w:val="24"/>
        </w:rPr>
      </w:pPr>
    </w:p>
    <w:p w14:paraId="331F609F" w14:textId="431972B9" w:rsidR="00FF3F6F" w:rsidRDefault="0090378B" w:rsidP="00B0581E">
      <w:pPr>
        <w:suppressAutoHyphens/>
        <w:ind w:right="720"/>
        <w:rPr>
          <w:sz w:val="24"/>
          <w:szCs w:val="24"/>
        </w:rPr>
      </w:pPr>
      <w:r>
        <w:rPr>
          <w:b/>
          <w:bCs/>
          <w:sz w:val="24"/>
          <w:szCs w:val="24"/>
        </w:rPr>
        <w:t>Custodial</w:t>
      </w:r>
      <w:r w:rsidR="00FF3F6F" w:rsidRPr="003276AF">
        <w:rPr>
          <w:b/>
          <w:bCs/>
          <w:sz w:val="24"/>
          <w:szCs w:val="24"/>
        </w:rPr>
        <w:t xml:space="preserve"> Fund</w:t>
      </w:r>
      <w:r w:rsidR="00FF3F6F" w:rsidRPr="003276AF">
        <w:rPr>
          <w:sz w:val="24"/>
          <w:szCs w:val="24"/>
        </w:rPr>
        <w:t xml:space="preserve"> – to account for resources</w:t>
      </w:r>
      <w:r>
        <w:rPr>
          <w:sz w:val="24"/>
          <w:szCs w:val="24"/>
        </w:rPr>
        <w:t xml:space="preserve"> of fiduciary activities</w:t>
      </w:r>
      <w:r w:rsidR="00FF3F6F" w:rsidRPr="003276AF">
        <w:rPr>
          <w:sz w:val="24"/>
          <w:szCs w:val="24"/>
        </w:rPr>
        <w:t xml:space="preserve"> held by the state in a custodial capacity</w:t>
      </w:r>
      <w:r>
        <w:rPr>
          <w:sz w:val="24"/>
          <w:szCs w:val="24"/>
        </w:rPr>
        <w:t xml:space="preserve"> which are not required to be reported in pensio</w:t>
      </w:r>
      <w:r w:rsidRPr="0090378B">
        <w:rPr>
          <w:sz w:val="24"/>
          <w:szCs w:val="24"/>
        </w:rPr>
        <w:t>n (and other employee benefit) trust funds, investment</w:t>
      </w:r>
      <w:r>
        <w:rPr>
          <w:sz w:val="24"/>
          <w:szCs w:val="24"/>
        </w:rPr>
        <w:t xml:space="preserve"> </w:t>
      </w:r>
      <w:r w:rsidRPr="0090378B">
        <w:rPr>
          <w:sz w:val="24"/>
          <w:szCs w:val="24"/>
        </w:rPr>
        <w:t>trust funds, or private-purpose trust funds. The external portion of investment</w:t>
      </w:r>
      <w:r>
        <w:rPr>
          <w:sz w:val="24"/>
          <w:szCs w:val="24"/>
        </w:rPr>
        <w:t xml:space="preserve"> </w:t>
      </w:r>
      <w:r w:rsidRPr="0090378B">
        <w:rPr>
          <w:sz w:val="24"/>
          <w:szCs w:val="24"/>
        </w:rPr>
        <w:t>pools that are not held in a trust should be reported in a separate external investment pool fund column, under</w:t>
      </w:r>
      <w:r>
        <w:rPr>
          <w:sz w:val="24"/>
          <w:szCs w:val="24"/>
        </w:rPr>
        <w:t xml:space="preserve"> </w:t>
      </w:r>
      <w:r w:rsidRPr="0090378B">
        <w:rPr>
          <w:sz w:val="24"/>
          <w:szCs w:val="24"/>
        </w:rPr>
        <w:t xml:space="preserve">the custodial </w:t>
      </w:r>
      <w:r w:rsidR="00C01045" w:rsidRPr="0090378B">
        <w:rPr>
          <w:sz w:val="24"/>
          <w:szCs w:val="24"/>
        </w:rPr>
        <w:t>fund</w:t>
      </w:r>
      <w:r w:rsidRPr="0090378B">
        <w:rPr>
          <w:sz w:val="24"/>
          <w:szCs w:val="24"/>
        </w:rPr>
        <w:t xml:space="preserve"> classification</w:t>
      </w:r>
      <w:r w:rsidR="00B0581E" w:rsidRPr="003276AF">
        <w:rPr>
          <w:sz w:val="24"/>
          <w:szCs w:val="24"/>
        </w:rPr>
        <w:t>.</w:t>
      </w:r>
      <w:r>
        <w:rPr>
          <w:sz w:val="24"/>
          <w:szCs w:val="24"/>
        </w:rPr>
        <w:t xml:space="preserve"> Custodial</w:t>
      </w:r>
      <w:r w:rsidR="00FF3F6F" w:rsidRPr="003276AF">
        <w:rPr>
          <w:sz w:val="24"/>
          <w:szCs w:val="24"/>
        </w:rPr>
        <w:t xml:space="preserve"> funds may be used on a limited basis for internal (to the State) clearing account </w:t>
      </w:r>
      <w:r w:rsidR="00C01045" w:rsidRPr="003276AF">
        <w:rPr>
          <w:sz w:val="24"/>
          <w:szCs w:val="24"/>
        </w:rPr>
        <w:t>activity,</w:t>
      </w:r>
      <w:r w:rsidR="00FF3F6F" w:rsidRPr="003276AF">
        <w:rPr>
          <w:sz w:val="24"/>
          <w:szCs w:val="24"/>
        </w:rPr>
        <w:t xml:space="preserve"> but these must have a zero balance at fiscal year-end.</w:t>
      </w:r>
      <w:r w:rsidR="004C6E15" w:rsidRPr="003276AF">
        <w:rPr>
          <w:sz w:val="24"/>
          <w:szCs w:val="24"/>
        </w:rPr>
        <w:t xml:space="preserve"> </w:t>
      </w:r>
      <w:r w:rsidR="00FF3F6F" w:rsidRPr="003276AF">
        <w:rPr>
          <w:sz w:val="24"/>
          <w:szCs w:val="24"/>
        </w:rPr>
        <w:t xml:space="preserve">The (department, board, office council) </w:t>
      </w:r>
      <w:r>
        <w:rPr>
          <w:sz w:val="24"/>
          <w:szCs w:val="24"/>
        </w:rPr>
        <w:t>custodial</w:t>
      </w:r>
      <w:r w:rsidRPr="003276AF">
        <w:rPr>
          <w:sz w:val="24"/>
          <w:szCs w:val="24"/>
        </w:rPr>
        <w:t xml:space="preserve"> </w:t>
      </w:r>
      <w:r w:rsidR="00FF3F6F" w:rsidRPr="003276AF">
        <w:rPr>
          <w:sz w:val="24"/>
          <w:szCs w:val="24"/>
        </w:rPr>
        <w:t>funds include</w:t>
      </w:r>
      <w:r w:rsidR="00C01045" w:rsidRPr="003276AF">
        <w:rPr>
          <w:sz w:val="24"/>
          <w:szCs w:val="24"/>
        </w:rPr>
        <w:t>… (</w:t>
      </w:r>
      <w:r w:rsidR="00233957" w:rsidRPr="003276AF">
        <w:rPr>
          <w:sz w:val="24"/>
          <w:szCs w:val="24"/>
        </w:rPr>
        <w:t>to be</w:t>
      </w:r>
      <w:r w:rsidR="00CF5142" w:rsidRPr="003276AF">
        <w:rPr>
          <w:sz w:val="24"/>
          <w:szCs w:val="24"/>
        </w:rPr>
        <w:t xml:space="preserve"> completed</w:t>
      </w:r>
      <w:r w:rsidR="00233957" w:rsidRPr="003276AF">
        <w:rPr>
          <w:sz w:val="24"/>
          <w:szCs w:val="24"/>
        </w:rPr>
        <w:t xml:space="preserve"> by each agency as necessary).</w:t>
      </w:r>
    </w:p>
    <w:p w14:paraId="4252FC39" w14:textId="04A2E875" w:rsidR="00620565" w:rsidRDefault="00620565" w:rsidP="00B0581E">
      <w:pPr>
        <w:suppressAutoHyphens/>
        <w:ind w:right="720"/>
        <w:rPr>
          <w:sz w:val="24"/>
          <w:szCs w:val="24"/>
        </w:rPr>
      </w:pPr>
    </w:p>
    <w:p w14:paraId="78BC8A7F" w14:textId="46DF8E92" w:rsidR="00620565" w:rsidRPr="00620565" w:rsidRDefault="00620565" w:rsidP="00B0581E">
      <w:pPr>
        <w:suppressAutoHyphens/>
        <w:ind w:right="720"/>
        <w:rPr>
          <w:color w:val="00B0F0"/>
          <w:sz w:val="24"/>
          <w:szCs w:val="24"/>
          <w:u w:val="single"/>
        </w:rPr>
      </w:pPr>
      <w:r w:rsidRPr="00620565">
        <w:rPr>
          <w:color w:val="00B0F0"/>
          <w:sz w:val="24"/>
          <w:szCs w:val="24"/>
          <w:u w:val="single"/>
        </w:rPr>
        <w:t>Changes in Accounting Policy</w:t>
      </w:r>
    </w:p>
    <w:p w14:paraId="096D450B" w14:textId="0350E593" w:rsidR="00620565" w:rsidRDefault="00620565" w:rsidP="00B0581E">
      <w:pPr>
        <w:suppressAutoHyphens/>
        <w:ind w:right="720"/>
        <w:rPr>
          <w:sz w:val="24"/>
          <w:szCs w:val="24"/>
        </w:rPr>
      </w:pPr>
      <w:r>
        <w:rPr>
          <w:color w:val="00B0F0"/>
          <w:sz w:val="24"/>
          <w:szCs w:val="24"/>
        </w:rPr>
        <w:t xml:space="preserve">Beginning in Fiscal Year 2022, the State of Montana implemented GASB 87 – Leases, which generally requires long-term leases to be recorded as a liability and a corresponding right-to-use lease asset. Since these leases are accounted for as long-term debt, governmental funds will show a Non-Budgeted, Inception of Lease/Installment Contract category on the Schedule of Revenues and Transfers-in and a corresponding Non-Budgeted Expenditure on the Schedule of Total Expenditures and Transfers-out for the purchase of the leased asset.  </w:t>
      </w:r>
    </w:p>
    <w:p w14:paraId="1EC8CFD0" w14:textId="4473AB39" w:rsidR="00620565" w:rsidRDefault="00620565" w:rsidP="00B0581E">
      <w:pPr>
        <w:suppressAutoHyphens/>
        <w:ind w:right="720"/>
        <w:rPr>
          <w:sz w:val="24"/>
          <w:szCs w:val="24"/>
        </w:rPr>
      </w:pPr>
    </w:p>
    <w:p w14:paraId="247C89C4" w14:textId="43A03068" w:rsidR="00620565" w:rsidRPr="003276AF" w:rsidRDefault="00620565" w:rsidP="00B0581E">
      <w:pPr>
        <w:suppressAutoHyphens/>
        <w:ind w:right="720"/>
        <w:rPr>
          <w:sz w:val="24"/>
          <w:szCs w:val="24"/>
        </w:rPr>
      </w:pPr>
      <w:r w:rsidRPr="00620565">
        <w:rPr>
          <w:color w:val="00B0F0"/>
          <w:sz w:val="24"/>
          <w:szCs w:val="24"/>
        </w:rPr>
        <w:t>(</w:t>
      </w:r>
      <w:r>
        <w:rPr>
          <w:color w:val="00B0F0"/>
          <w:sz w:val="24"/>
          <w:szCs w:val="24"/>
        </w:rPr>
        <w:t>NOTE:  this sentence is only needed in the year of implementation and only if material to the schedules</w:t>
      </w:r>
      <w:r w:rsidRPr="00620565">
        <w:rPr>
          <w:color w:val="00B0F0"/>
          <w:sz w:val="24"/>
          <w:szCs w:val="24"/>
        </w:rPr>
        <w:t xml:space="preserve">) In </w:t>
      </w:r>
      <w:r>
        <w:rPr>
          <w:color w:val="00B0F0"/>
          <w:sz w:val="24"/>
          <w:szCs w:val="24"/>
        </w:rPr>
        <w:t xml:space="preserve">the Schedule of Total Expenditures and Transfers-out, readers may </w:t>
      </w:r>
      <w:r>
        <w:rPr>
          <w:color w:val="00B0F0"/>
          <w:sz w:val="24"/>
          <w:szCs w:val="24"/>
        </w:rPr>
        <w:lastRenderedPageBreak/>
        <w:t xml:space="preserve">also see a shift from Operating Expenses - Rent to a Debt Service – Lease Liability.  </w:t>
      </w:r>
      <w:r>
        <w:rPr>
          <w:sz w:val="24"/>
          <w:szCs w:val="24"/>
        </w:rPr>
        <w:t> </w:t>
      </w:r>
    </w:p>
    <w:p w14:paraId="55CA917F" w14:textId="77777777" w:rsidR="00FF3F6F" w:rsidRPr="003276AF" w:rsidRDefault="00FF3F6F" w:rsidP="00B0581E">
      <w:pPr>
        <w:suppressAutoHyphens/>
        <w:ind w:right="720"/>
        <w:rPr>
          <w:sz w:val="24"/>
          <w:szCs w:val="24"/>
        </w:rPr>
      </w:pPr>
    </w:p>
    <w:p w14:paraId="573C97E4" w14:textId="77777777" w:rsidR="00FF3F6F" w:rsidRPr="003276AF" w:rsidRDefault="00FF3F6F" w:rsidP="00B0581E">
      <w:pPr>
        <w:suppressAutoHyphens/>
        <w:ind w:right="720"/>
        <w:rPr>
          <w:sz w:val="24"/>
          <w:szCs w:val="24"/>
        </w:rPr>
      </w:pPr>
      <w:r w:rsidRPr="003276AF">
        <w:rPr>
          <w:sz w:val="24"/>
          <w:szCs w:val="24"/>
        </w:rPr>
        <w:t>2.</w:t>
      </w:r>
      <w:r w:rsidRPr="003276AF">
        <w:rPr>
          <w:sz w:val="24"/>
          <w:szCs w:val="24"/>
        </w:rPr>
        <w:tab/>
      </w:r>
      <w:r w:rsidRPr="003276AF">
        <w:rPr>
          <w:sz w:val="24"/>
          <w:szCs w:val="24"/>
          <w:u w:val="single"/>
        </w:rPr>
        <w:t xml:space="preserve">General Fund </w:t>
      </w:r>
      <w:r w:rsidR="00233957" w:rsidRPr="003276AF">
        <w:rPr>
          <w:sz w:val="24"/>
          <w:szCs w:val="24"/>
          <w:u w:val="single"/>
        </w:rPr>
        <w:t xml:space="preserve">Equity </w:t>
      </w:r>
      <w:r w:rsidRPr="003276AF">
        <w:rPr>
          <w:sz w:val="24"/>
          <w:szCs w:val="24"/>
          <w:u w:val="single"/>
        </w:rPr>
        <w:t>Balance</w:t>
      </w:r>
      <w:r w:rsidRPr="003276AF">
        <w:rPr>
          <w:sz w:val="24"/>
          <w:szCs w:val="24"/>
        </w:rPr>
        <w:t xml:space="preserve"> (negative balances)</w:t>
      </w:r>
    </w:p>
    <w:p w14:paraId="4A9BEF1A" w14:textId="77777777" w:rsidR="00FF3F6F" w:rsidRPr="003276AF" w:rsidRDefault="00FF3F6F" w:rsidP="00B0581E">
      <w:pPr>
        <w:suppressAutoHyphens/>
        <w:ind w:right="720"/>
        <w:rPr>
          <w:sz w:val="24"/>
          <w:szCs w:val="24"/>
        </w:rPr>
      </w:pPr>
    </w:p>
    <w:p w14:paraId="5B309A27" w14:textId="77777777" w:rsidR="00FF3F6F" w:rsidRPr="003276AF" w:rsidRDefault="00FF3F6F" w:rsidP="00B0581E">
      <w:pPr>
        <w:suppressAutoHyphens/>
        <w:ind w:right="720"/>
        <w:rPr>
          <w:sz w:val="24"/>
          <w:szCs w:val="24"/>
        </w:rPr>
      </w:pPr>
      <w:r w:rsidRPr="003276AF">
        <w:rPr>
          <w:sz w:val="24"/>
          <w:szCs w:val="24"/>
        </w:rPr>
        <w:t xml:space="preserve">The negative fund </w:t>
      </w:r>
      <w:r w:rsidR="00233957" w:rsidRPr="003276AF">
        <w:rPr>
          <w:sz w:val="24"/>
          <w:szCs w:val="24"/>
        </w:rPr>
        <w:t xml:space="preserve">equity </w:t>
      </w:r>
      <w:r w:rsidRPr="003276AF">
        <w:rPr>
          <w:sz w:val="24"/>
          <w:szCs w:val="24"/>
        </w:rPr>
        <w:t>balance in the General Fund does not indicate overspent appropriation authority</w:t>
      </w:r>
      <w:r w:rsidR="00B0581E" w:rsidRPr="003276AF">
        <w:rPr>
          <w:sz w:val="24"/>
          <w:szCs w:val="24"/>
        </w:rPr>
        <w:t xml:space="preserve">. </w:t>
      </w:r>
      <w:r w:rsidRPr="003276AF">
        <w:rPr>
          <w:sz w:val="24"/>
          <w:szCs w:val="24"/>
        </w:rPr>
        <w:t>The (department, board, office, council) has authority to pay obligations from the statewide General Fund within its appropriation limits.</w:t>
      </w:r>
      <w:r w:rsidR="004C6E15" w:rsidRPr="003276AF">
        <w:rPr>
          <w:sz w:val="24"/>
          <w:szCs w:val="24"/>
        </w:rPr>
        <w:t xml:space="preserve"> </w:t>
      </w:r>
      <w:r w:rsidRPr="003276AF">
        <w:rPr>
          <w:sz w:val="24"/>
          <w:szCs w:val="24"/>
        </w:rPr>
        <w:t>The (department, board, office, council) expends cash or other assets from the statewide fund when it pays General Fund obligations.</w:t>
      </w:r>
      <w:r w:rsidR="004C6E15" w:rsidRPr="003276AF">
        <w:rPr>
          <w:sz w:val="24"/>
          <w:szCs w:val="24"/>
        </w:rPr>
        <w:t xml:space="preserve"> </w:t>
      </w:r>
      <w:r w:rsidRPr="003276AF">
        <w:rPr>
          <w:sz w:val="24"/>
          <w:szCs w:val="24"/>
        </w:rPr>
        <w:t>The (department</w:t>
      </w:r>
      <w:r w:rsidR="00F3587F" w:rsidRPr="003276AF">
        <w:rPr>
          <w:sz w:val="24"/>
          <w:szCs w:val="24"/>
        </w:rPr>
        <w:t>’</w:t>
      </w:r>
      <w:r w:rsidRPr="003276AF">
        <w:rPr>
          <w:sz w:val="24"/>
          <w:szCs w:val="24"/>
        </w:rPr>
        <w:t xml:space="preserve">s, council, etc.) outstanding liabilities exceed the assets it has placed in the fund, resulting in negative ending General Fund </w:t>
      </w:r>
      <w:r w:rsidR="00233957" w:rsidRPr="003276AF">
        <w:rPr>
          <w:sz w:val="24"/>
          <w:szCs w:val="24"/>
        </w:rPr>
        <w:t xml:space="preserve">equity </w:t>
      </w:r>
      <w:r w:rsidRPr="003276AF">
        <w:rPr>
          <w:sz w:val="24"/>
          <w:szCs w:val="24"/>
        </w:rPr>
        <w:t>balances for each of the fiscal years ended June 30, 2XXX and June 30, 2XXX.</w:t>
      </w:r>
      <w:r w:rsidR="00CF5142" w:rsidRPr="003276AF">
        <w:rPr>
          <w:sz w:val="24"/>
          <w:szCs w:val="24"/>
        </w:rPr>
        <w:t xml:space="preserve"> (Note: if you have a negative General Fund equity balance you will only use this disclosure and you will omit the positive balance General Fund equity balance below.)</w:t>
      </w:r>
    </w:p>
    <w:p w14:paraId="72969E9C" w14:textId="77777777" w:rsidR="00FF3F6F" w:rsidRPr="003276AF" w:rsidRDefault="00FF3F6F" w:rsidP="00B0581E">
      <w:pPr>
        <w:suppressAutoHyphens/>
        <w:ind w:right="720"/>
        <w:rPr>
          <w:sz w:val="24"/>
          <w:szCs w:val="24"/>
        </w:rPr>
      </w:pPr>
    </w:p>
    <w:p w14:paraId="174FBBB6" w14:textId="77777777" w:rsidR="00FF3F6F" w:rsidRPr="003276AF" w:rsidRDefault="00FF3F6F" w:rsidP="00B0581E">
      <w:pPr>
        <w:suppressAutoHyphens/>
        <w:ind w:right="720"/>
        <w:rPr>
          <w:sz w:val="24"/>
          <w:szCs w:val="24"/>
        </w:rPr>
      </w:pPr>
      <w:r w:rsidRPr="003276AF">
        <w:rPr>
          <w:sz w:val="24"/>
          <w:szCs w:val="24"/>
          <w:u w:val="single"/>
        </w:rPr>
        <w:t xml:space="preserve">General Fund </w:t>
      </w:r>
      <w:r w:rsidR="00233957" w:rsidRPr="003276AF">
        <w:rPr>
          <w:sz w:val="24"/>
          <w:szCs w:val="24"/>
          <w:u w:val="single"/>
        </w:rPr>
        <w:t xml:space="preserve">Equity </w:t>
      </w:r>
      <w:r w:rsidRPr="003276AF">
        <w:rPr>
          <w:sz w:val="24"/>
          <w:szCs w:val="24"/>
          <w:u w:val="single"/>
        </w:rPr>
        <w:t>Balance</w:t>
      </w:r>
      <w:r w:rsidRPr="003276AF">
        <w:rPr>
          <w:sz w:val="24"/>
          <w:szCs w:val="24"/>
        </w:rPr>
        <w:t xml:space="preserve"> (positive balances)</w:t>
      </w:r>
    </w:p>
    <w:p w14:paraId="68E10477" w14:textId="77777777" w:rsidR="00FF3F6F" w:rsidRPr="003276AF" w:rsidRDefault="00FF3F6F" w:rsidP="00B0581E">
      <w:pPr>
        <w:suppressAutoHyphens/>
        <w:ind w:right="720"/>
        <w:rPr>
          <w:sz w:val="24"/>
          <w:szCs w:val="24"/>
        </w:rPr>
      </w:pPr>
    </w:p>
    <w:p w14:paraId="1B7530C9" w14:textId="605DACA5" w:rsidR="00CF5142" w:rsidRPr="003276AF" w:rsidRDefault="00FF3F6F" w:rsidP="00CF5142">
      <w:pPr>
        <w:suppressAutoHyphens/>
        <w:ind w:right="720"/>
        <w:rPr>
          <w:sz w:val="24"/>
          <w:szCs w:val="24"/>
        </w:rPr>
      </w:pPr>
      <w:r w:rsidRPr="003276AF">
        <w:rPr>
          <w:sz w:val="24"/>
          <w:szCs w:val="24"/>
        </w:rPr>
        <w:t>The (department, board, office, council) has authority to pay obligations from the statewide General Fund within its appropriation limits</w:t>
      </w:r>
      <w:r w:rsidR="00B0581E" w:rsidRPr="003276AF">
        <w:rPr>
          <w:sz w:val="24"/>
          <w:szCs w:val="24"/>
        </w:rPr>
        <w:t xml:space="preserve">. </w:t>
      </w:r>
      <w:r w:rsidRPr="003276AF">
        <w:rPr>
          <w:sz w:val="24"/>
          <w:szCs w:val="24"/>
        </w:rPr>
        <w:t>The (department</w:t>
      </w:r>
      <w:r w:rsidR="00F3587F" w:rsidRPr="003276AF">
        <w:rPr>
          <w:sz w:val="24"/>
          <w:szCs w:val="24"/>
        </w:rPr>
        <w:t>’</w:t>
      </w:r>
      <w:r w:rsidRPr="003276AF">
        <w:rPr>
          <w:sz w:val="24"/>
          <w:szCs w:val="24"/>
        </w:rPr>
        <w:t>s, council, etc.) total assets placed in the fund exceed outstanding liabilities, resulting in positive ending General Fund</w:t>
      </w:r>
      <w:r w:rsidR="00233957" w:rsidRPr="003276AF">
        <w:rPr>
          <w:sz w:val="24"/>
          <w:szCs w:val="24"/>
        </w:rPr>
        <w:t xml:space="preserve"> </w:t>
      </w:r>
      <w:r w:rsidR="00C01045" w:rsidRPr="003276AF">
        <w:rPr>
          <w:sz w:val="24"/>
          <w:szCs w:val="24"/>
        </w:rPr>
        <w:t>equity balances</w:t>
      </w:r>
      <w:r w:rsidRPr="003276AF">
        <w:rPr>
          <w:sz w:val="24"/>
          <w:szCs w:val="24"/>
        </w:rPr>
        <w:t xml:space="preserve"> for each of the fiscal years ended June 30, 20XX, and June 30, 20XX.</w:t>
      </w:r>
      <w:r w:rsidR="004C6E15" w:rsidRPr="003276AF">
        <w:rPr>
          <w:sz w:val="24"/>
          <w:szCs w:val="24"/>
        </w:rPr>
        <w:t xml:space="preserve"> </w:t>
      </w:r>
      <w:r w:rsidRPr="003276AF">
        <w:rPr>
          <w:sz w:val="24"/>
          <w:szCs w:val="24"/>
        </w:rPr>
        <w:t xml:space="preserve">These balances reflect the results of the activity of the (department, board, office, council) and not the fund </w:t>
      </w:r>
      <w:r w:rsidR="00233957" w:rsidRPr="003276AF">
        <w:rPr>
          <w:sz w:val="24"/>
          <w:szCs w:val="24"/>
        </w:rPr>
        <w:t xml:space="preserve">equity </w:t>
      </w:r>
      <w:r w:rsidRPr="003276AF">
        <w:rPr>
          <w:sz w:val="24"/>
          <w:szCs w:val="24"/>
        </w:rPr>
        <w:t>balance of the statewide General Fund.</w:t>
      </w:r>
      <w:r w:rsidR="00CF5142" w:rsidRPr="003276AF">
        <w:rPr>
          <w:sz w:val="24"/>
          <w:szCs w:val="24"/>
        </w:rPr>
        <w:t xml:space="preserve"> . (Note: if you have a positive General Fund equity balance you will only use this disclosure and you will omit the negative balance General Fund equity balance above.)</w:t>
      </w:r>
    </w:p>
    <w:p w14:paraId="79DD438B" w14:textId="77777777" w:rsidR="00FF3F6F" w:rsidRPr="003276AF" w:rsidRDefault="00FF3F6F" w:rsidP="00B0581E">
      <w:pPr>
        <w:suppressAutoHyphens/>
        <w:ind w:right="720"/>
        <w:rPr>
          <w:sz w:val="24"/>
          <w:szCs w:val="24"/>
        </w:rPr>
      </w:pPr>
    </w:p>
    <w:p w14:paraId="38751200" w14:textId="77777777" w:rsidR="00FF3F6F" w:rsidRPr="003276AF" w:rsidRDefault="00FF3F6F" w:rsidP="00B0581E">
      <w:pPr>
        <w:suppressAutoHyphens/>
        <w:ind w:right="720"/>
        <w:rPr>
          <w:sz w:val="24"/>
          <w:szCs w:val="24"/>
        </w:rPr>
      </w:pPr>
    </w:p>
    <w:p w14:paraId="7E40500E" w14:textId="77777777" w:rsidR="00FF3F6F" w:rsidRPr="003276AF" w:rsidRDefault="00FF3F6F" w:rsidP="00B0581E">
      <w:pPr>
        <w:suppressAutoHyphens/>
        <w:ind w:right="720"/>
        <w:rPr>
          <w:sz w:val="24"/>
          <w:szCs w:val="24"/>
        </w:rPr>
      </w:pPr>
      <w:r w:rsidRPr="003276AF">
        <w:rPr>
          <w:sz w:val="24"/>
          <w:szCs w:val="24"/>
        </w:rPr>
        <w:t>3.</w:t>
      </w:r>
      <w:r w:rsidRPr="003276AF">
        <w:rPr>
          <w:sz w:val="24"/>
          <w:szCs w:val="24"/>
        </w:rPr>
        <w:tab/>
      </w:r>
      <w:r w:rsidRPr="003276AF">
        <w:rPr>
          <w:sz w:val="24"/>
          <w:szCs w:val="24"/>
          <w:u w:val="single"/>
        </w:rPr>
        <w:t xml:space="preserve">Direct Entries to Fund </w:t>
      </w:r>
      <w:r w:rsidR="00C7688C" w:rsidRPr="003276AF">
        <w:rPr>
          <w:sz w:val="24"/>
          <w:szCs w:val="24"/>
          <w:u w:val="single"/>
        </w:rPr>
        <w:t>Equity</w:t>
      </w:r>
    </w:p>
    <w:p w14:paraId="044C22EC" w14:textId="77777777" w:rsidR="00FF3F6F" w:rsidRPr="003276AF" w:rsidRDefault="00FF3F6F" w:rsidP="00B0581E">
      <w:pPr>
        <w:suppressAutoHyphens/>
        <w:ind w:right="720"/>
        <w:rPr>
          <w:sz w:val="24"/>
          <w:szCs w:val="24"/>
        </w:rPr>
      </w:pPr>
    </w:p>
    <w:p w14:paraId="77E478B2" w14:textId="65CE20D1" w:rsidR="00FF3F6F" w:rsidRPr="003276AF" w:rsidRDefault="00C7688C" w:rsidP="00B0581E">
      <w:pPr>
        <w:pStyle w:val="BodyText"/>
        <w:rPr>
          <w:szCs w:val="24"/>
        </w:rPr>
      </w:pPr>
      <w:r w:rsidRPr="003276AF">
        <w:rPr>
          <w:szCs w:val="24"/>
        </w:rPr>
        <w:t xml:space="preserve">Direct entries to fund equity </w:t>
      </w:r>
      <w:r w:rsidR="00FF3F6F" w:rsidRPr="003276AF">
        <w:rPr>
          <w:szCs w:val="24"/>
        </w:rPr>
        <w:t>in the (General, Special Revenue, Federal Special Revenue Fund, Debt Service, Capital Projects, Internal Service, Enterprise,</w:t>
      </w:r>
      <w:r w:rsidR="00C01045">
        <w:rPr>
          <w:szCs w:val="24"/>
        </w:rPr>
        <w:t xml:space="preserve"> </w:t>
      </w:r>
      <w:r w:rsidR="00FF3F6F" w:rsidRPr="003276AF">
        <w:rPr>
          <w:szCs w:val="24"/>
        </w:rPr>
        <w:t>...) fund(s) include entries generated by SABHRS to reflect the flow of resources within individual funds shared by separate agencies.</w:t>
      </w:r>
    </w:p>
    <w:p w14:paraId="12F73103" w14:textId="2FCDD069" w:rsidR="00FF3F6F" w:rsidRPr="003276AF" w:rsidRDefault="00FF3F6F" w:rsidP="00B0581E">
      <w:pPr>
        <w:pStyle w:val="LstBullet"/>
        <w:numPr>
          <w:ilvl w:val="0"/>
          <w:numId w:val="0"/>
        </w:numPr>
        <w:rPr>
          <w:szCs w:val="24"/>
        </w:rPr>
      </w:pPr>
      <w:r w:rsidRPr="003276AF">
        <w:rPr>
          <w:szCs w:val="24"/>
        </w:rPr>
        <w:t>D</w:t>
      </w:r>
      <w:r w:rsidR="00C7688C" w:rsidRPr="003276AF">
        <w:rPr>
          <w:szCs w:val="24"/>
        </w:rPr>
        <w:t>irect entries to fund equity</w:t>
      </w:r>
      <w:r w:rsidRPr="003276AF">
        <w:rPr>
          <w:szCs w:val="24"/>
        </w:rPr>
        <w:t xml:space="preserve"> in the (General, State Special Revenue, Federal Special Revenue Fund, Debt Service, Capital Projects, Internal Service, Enterprise,</w:t>
      </w:r>
      <w:r w:rsidR="00C01045">
        <w:rPr>
          <w:szCs w:val="24"/>
        </w:rPr>
        <w:t xml:space="preserve"> </w:t>
      </w:r>
      <w:r w:rsidRPr="003276AF">
        <w:rPr>
          <w:szCs w:val="24"/>
        </w:rPr>
        <w:t>...) funds also include:</w:t>
      </w:r>
      <w:r w:rsidR="004C6E15" w:rsidRPr="003276AF">
        <w:rPr>
          <w:szCs w:val="24"/>
        </w:rPr>
        <w:t xml:space="preserve"> </w:t>
      </w:r>
      <w:r w:rsidRPr="003276AF">
        <w:rPr>
          <w:szCs w:val="24"/>
        </w:rPr>
        <w:t xml:space="preserve">(correction of an error from a previous period that occurred at least two fiscal years prior; change in accounting principle, or a change in the application of an accounting principle; </w:t>
      </w:r>
      <w:r w:rsidR="00325737" w:rsidRPr="003276AF">
        <w:rPr>
          <w:szCs w:val="24"/>
        </w:rPr>
        <w:t xml:space="preserve">or </w:t>
      </w:r>
      <w:r w:rsidRPr="003276AF">
        <w:rPr>
          <w:szCs w:val="24"/>
        </w:rPr>
        <w:t>retroactive change mandated by the GASB in conjunction with the impleme</w:t>
      </w:r>
      <w:r w:rsidR="00325737" w:rsidRPr="003276AF">
        <w:rPr>
          <w:szCs w:val="24"/>
        </w:rPr>
        <w:t>ntation of a new pronouncement</w:t>
      </w:r>
      <w:r w:rsidRPr="003276AF">
        <w:rPr>
          <w:szCs w:val="24"/>
        </w:rPr>
        <w:t>).</w:t>
      </w:r>
    </w:p>
    <w:p w14:paraId="30200CBE" w14:textId="77777777" w:rsidR="00C7688C" w:rsidRPr="003276AF" w:rsidRDefault="00C7688C" w:rsidP="00B0581E">
      <w:pPr>
        <w:pStyle w:val="LstBullet"/>
        <w:numPr>
          <w:ilvl w:val="0"/>
          <w:numId w:val="0"/>
        </w:numPr>
        <w:rPr>
          <w:i/>
          <w:iCs/>
          <w:szCs w:val="24"/>
        </w:rPr>
      </w:pPr>
    </w:p>
    <w:p w14:paraId="5895A7E5" w14:textId="77777777" w:rsidR="00FF3F6F" w:rsidRPr="00233957" w:rsidRDefault="00C7688C" w:rsidP="00B0581E">
      <w:pPr>
        <w:pStyle w:val="LstBullet"/>
        <w:numPr>
          <w:ilvl w:val="0"/>
          <w:numId w:val="0"/>
        </w:numPr>
        <w:rPr>
          <w:i/>
          <w:iCs/>
          <w:szCs w:val="24"/>
        </w:rPr>
      </w:pPr>
      <w:r w:rsidRPr="003276AF">
        <w:rPr>
          <w:i/>
          <w:iCs/>
          <w:szCs w:val="24"/>
        </w:rPr>
        <w:t>(Agency management</w:t>
      </w:r>
      <w:r w:rsidR="00FF3F6F" w:rsidRPr="003276AF">
        <w:rPr>
          <w:i/>
          <w:iCs/>
          <w:szCs w:val="24"/>
        </w:rPr>
        <w:t xml:space="preserve"> should add explanations for the specifics of material direct entries)</w:t>
      </w:r>
    </w:p>
    <w:p w14:paraId="0056D1FD" w14:textId="77777777" w:rsidR="00FF3F6F" w:rsidRPr="00C50A5A" w:rsidRDefault="00FF3F6F" w:rsidP="00B0581E">
      <w:pPr>
        <w:suppressAutoHyphens/>
        <w:ind w:right="720"/>
        <w:rPr>
          <w:i/>
          <w:sz w:val="16"/>
          <w:szCs w:val="16"/>
        </w:rPr>
      </w:pPr>
    </w:p>
    <w:sectPr w:rsidR="00FF3F6F" w:rsidRPr="00C50A5A" w:rsidSect="00CC535F">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1AD78" w14:textId="77777777" w:rsidR="001F5A91" w:rsidRDefault="001F5A91">
      <w:pPr>
        <w:spacing w:line="20" w:lineRule="exact"/>
        <w:rPr>
          <w:sz w:val="24"/>
        </w:rPr>
      </w:pPr>
    </w:p>
  </w:endnote>
  <w:endnote w:type="continuationSeparator" w:id="0">
    <w:p w14:paraId="6ED8F69C" w14:textId="77777777" w:rsidR="001F5A91" w:rsidRDefault="001F5A91">
      <w:r>
        <w:rPr>
          <w:sz w:val="24"/>
        </w:rPr>
        <w:t xml:space="preserve"> </w:t>
      </w:r>
    </w:p>
  </w:endnote>
  <w:endnote w:type="continuationNotice" w:id="1">
    <w:p w14:paraId="1DE445D1" w14:textId="77777777" w:rsidR="001F5A91" w:rsidRDefault="001F5A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6F56" w14:textId="77777777" w:rsidR="001F5A91" w:rsidRDefault="001F5A91">
      <w:r>
        <w:rPr>
          <w:sz w:val="24"/>
        </w:rPr>
        <w:separator/>
      </w:r>
    </w:p>
  </w:footnote>
  <w:footnote w:type="continuationSeparator" w:id="0">
    <w:p w14:paraId="63AD8A16" w14:textId="77777777" w:rsidR="001F5A91" w:rsidRDefault="001F5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64CB0"/>
    <w:multiLevelType w:val="multilevel"/>
    <w:tmpl w:val="FB5A6838"/>
    <w:lvl w:ilvl="0">
      <w:start w:val="1"/>
      <w:numFmt w:val="bullet"/>
      <w:lvlText w:val=""/>
      <w:lvlJc w:val="left"/>
      <w:pPr>
        <w:tabs>
          <w:tab w:val="num" w:pos="720"/>
        </w:tabs>
        <w:ind w:left="720" w:hanging="360"/>
      </w:pPr>
      <w:rPr>
        <w:rFonts w:ascii="Symbol" w:hAnsi="Symbol" w:hint="default"/>
        <w:b w:val="0"/>
      </w:rPr>
    </w:lvl>
    <w:lvl w:ilvl="1">
      <w:start w:val="1"/>
      <w:numFmt w:val="bullet"/>
      <w:lvlText w:val=""/>
      <w:lvlJc w:val="left"/>
      <w:pPr>
        <w:tabs>
          <w:tab w:val="num" w:pos="1080"/>
        </w:tabs>
        <w:ind w:left="1080" w:hanging="360"/>
      </w:pPr>
      <w:rPr>
        <w:rFonts w:ascii="Symbol" w:hAnsi="Symbol" w:hint="default"/>
        <w:b w:val="0"/>
      </w:rPr>
    </w:lvl>
    <w:lvl w:ilvl="2">
      <w:start w:val="1"/>
      <w:numFmt w:val="bullet"/>
      <w:lvlText w:val=""/>
      <w:lvlJc w:val="left"/>
      <w:pPr>
        <w:tabs>
          <w:tab w:val="num" w:pos="1440"/>
        </w:tabs>
        <w:ind w:left="1440" w:hanging="360"/>
      </w:pPr>
      <w:rPr>
        <w:rFonts w:ascii="Symbol" w:hAnsi="Symbol" w:hint="default"/>
        <w:b w:val="0"/>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 w15:restartNumberingAfterBreak="0">
    <w:nsid w:val="3B9D3C75"/>
    <w:multiLevelType w:val="multilevel"/>
    <w:tmpl w:val="15408E7C"/>
    <w:lvl w:ilvl="0">
      <w:start w:val="1"/>
      <w:numFmt w:val="decimal"/>
      <w:pStyle w:val="L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0B"/>
    <w:rsid w:val="0005143D"/>
    <w:rsid w:val="00070DA3"/>
    <w:rsid w:val="000D6190"/>
    <w:rsid w:val="00116AD6"/>
    <w:rsid w:val="00187313"/>
    <w:rsid w:val="00195D7A"/>
    <w:rsid w:val="001C7EAF"/>
    <w:rsid w:val="001F5A91"/>
    <w:rsid w:val="00233957"/>
    <w:rsid w:val="003014BE"/>
    <w:rsid w:val="00325737"/>
    <w:rsid w:val="003276AF"/>
    <w:rsid w:val="00346DDB"/>
    <w:rsid w:val="0036235F"/>
    <w:rsid w:val="004C6E15"/>
    <w:rsid w:val="00502D0B"/>
    <w:rsid w:val="005A3C2B"/>
    <w:rsid w:val="00620565"/>
    <w:rsid w:val="0065429D"/>
    <w:rsid w:val="00656E1A"/>
    <w:rsid w:val="006C788C"/>
    <w:rsid w:val="006F7917"/>
    <w:rsid w:val="00771CD6"/>
    <w:rsid w:val="007F4679"/>
    <w:rsid w:val="0086496D"/>
    <w:rsid w:val="00883012"/>
    <w:rsid w:val="0090378B"/>
    <w:rsid w:val="009619FF"/>
    <w:rsid w:val="009D2CA9"/>
    <w:rsid w:val="00A726CD"/>
    <w:rsid w:val="00A74AE2"/>
    <w:rsid w:val="00A940FA"/>
    <w:rsid w:val="00B0581E"/>
    <w:rsid w:val="00B62CA2"/>
    <w:rsid w:val="00BC29DD"/>
    <w:rsid w:val="00BD51EC"/>
    <w:rsid w:val="00BE0501"/>
    <w:rsid w:val="00C01045"/>
    <w:rsid w:val="00C50A5A"/>
    <w:rsid w:val="00C7688C"/>
    <w:rsid w:val="00CC535F"/>
    <w:rsid w:val="00CF5142"/>
    <w:rsid w:val="00D8703B"/>
    <w:rsid w:val="00E81207"/>
    <w:rsid w:val="00F3587F"/>
    <w:rsid w:val="00F93EA9"/>
    <w:rsid w:val="00FF3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71FE7"/>
  <w15:docId w15:val="{87CB88ED-3B46-426B-A3B6-685AF431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35F"/>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C535F"/>
    <w:rPr>
      <w:sz w:val="24"/>
    </w:rPr>
  </w:style>
  <w:style w:type="character" w:styleId="EndnoteReference">
    <w:name w:val="endnote reference"/>
    <w:basedOn w:val="DefaultParagraphFont"/>
    <w:semiHidden/>
    <w:rsid w:val="00CC535F"/>
    <w:rPr>
      <w:vertAlign w:val="superscript"/>
    </w:rPr>
  </w:style>
  <w:style w:type="paragraph" w:styleId="FootnoteText">
    <w:name w:val="footnote text"/>
    <w:basedOn w:val="Normal"/>
    <w:semiHidden/>
    <w:rsid w:val="00CC535F"/>
    <w:rPr>
      <w:sz w:val="24"/>
    </w:rPr>
  </w:style>
  <w:style w:type="character" w:styleId="FootnoteReference">
    <w:name w:val="footnote reference"/>
    <w:basedOn w:val="DefaultParagraphFont"/>
    <w:semiHidden/>
    <w:rsid w:val="00CC535F"/>
    <w:rPr>
      <w:vertAlign w:val="superscript"/>
    </w:rPr>
  </w:style>
  <w:style w:type="paragraph" w:styleId="TOC1">
    <w:name w:val="toc 1"/>
    <w:basedOn w:val="Normal"/>
    <w:next w:val="Normal"/>
    <w:autoRedefine/>
    <w:semiHidden/>
    <w:rsid w:val="00CC535F"/>
    <w:pPr>
      <w:tabs>
        <w:tab w:val="right" w:leader="dot" w:pos="9360"/>
      </w:tabs>
      <w:suppressAutoHyphens/>
      <w:spacing w:before="480"/>
      <w:ind w:left="720" w:right="720" w:hanging="720"/>
    </w:pPr>
  </w:style>
  <w:style w:type="paragraph" w:styleId="TOC2">
    <w:name w:val="toc 2"/>
    <w:basedOn w:val="Normal"/>
    <w:next w:val="Normal"/>
    <w:autoRedefine/>
    <w:semiHidden/>
    <w:rsid w:val="00CC535F"/>
    <w:pPr>
      <w:tabs>
        <w:tab w:val="right" w:leader="dot" w:pos="9360"/>
      </w:tabs>
      <w:suppressAutoHyphens/>
      <w:ind w:left="1440" w:right="720" w:hanging="720"/>
    </w:pPr>
  </w:style>
  <w:style w:type="paragraph" w:styleId="TOC3">
    <w:name w:val="toc 3"/>
    <w:basedOn w:val="Normal"/>
    <w:next w:val="Normal"/>
    <w:autoRedefine/>
    <w:semiHidden/>
    <w:rsid w:val="00CC535F"/>
    <w:pPr>
      <w:tabs>
        <w:tab w:val="right" w:leader="dot" w:pos="9360"/>
      </w:tabs>
      <w:suppressAutoHyphens/>
      <w:ind w:left="2160" w:right="720" w:hanging="720"/>
    </w:pPr>
  </w:style>
  <w:style w:type="paragraph" w:styleId="TOC4">
    <w:name w:val="toc 4"/>
    <w:basedOn w:val="Normal"/>
    <w:next w:val="Normal"/>
    <w:autoRedefine/>
    <w:semiHidden/>
    <w:rsid w:val="00CC535F"/>
    <w:pPr>
      <w:tabs>
        <w:tab w:val="right" w:leader="dot" w:pos="9360"/>
      </w:tabs>
      <w:suppressAutoHyphens/>
      <w:ind w:left="2880" w:right="720" w:hanging="720"/>
    </w:pPr>
  </w:style>
  <w:style w:type="paragraph" w:styleId="TOC5">
    <w:name w:val="toc 5"/>
    <w:basedOn w:val="Normal"/>
    <w:next w:val="Normal"/>
    <w:autoRedefine/>
    <w:semiHidden/>
    <w:rsid w:val="00CC535F"/>
    <w:pPr>
      <w:tabs>
        <w:tab w:val="right" w:leader="dot" w:pos="9360"/>
      </w:tabs>
      <w:suppressAutoHyphens/>
      <w:ind w:left="3600" w:right="720" w:hanging="720"/>
    </w:pPr>
  </w:style>
  <w:style w:type="paragraph" w:styleId="TOC6">
    <w:name w:val="toc 6"/>
    <w:basedOn w:val="Normal"/>
    <w:next w:val="Normal"/>
    <w:autoRedefine/>
    <w:semiHidden/>
    <w:rsid w:val="00CC535F"/>
    <w:pPr>
      <w:tabs>
        <w:tab w:val="right" w:pos="9360"/>
      </w:tabs>
      <w:suppressAutoHyphens/>
      <w:ind w:left="720" w:hanging="720"/>
    </w:pPr>
  </w:style>
  <w:style w:type="paragraph" w:styleId="TOC7">
    <w:name w:val="toc 7"/>
    <w:basedOn w:val="Normal"/>
    <w:next w:val="Normal"/>
    <w:autoRedefine/>
    <w:semiHidden/>
    <w:rsid w:val="00CC535F"/>
    <w:pPr>
      <w:suppressAutoHyphens/>
      <w:ind w:left="720" w:hanging="720"/>
    </w:pPr>
  </w:style>
  <w:style w:type="paragraph" w:styleId="TOC8">
    <w:name w:val="toc 8"/>
    <w:basedOn w:val="Normal"/>
    <w:next w:val="Normal"/>
    <w:autoRedefine/>
    <w:semiHidden/>
    <w:rsid w:val="00CC535F"/>
    <w:pPr>
      <w:tabs>
        <w:tab w:val="right" w:pos="9360"/>
      </w:tabs>
      <w:suppressAutoHyphens/>
      <w:ind w:left="720" w:hanging="720"/>
    </w:pPr>
  </w:style>
  <w:style w:type="paragraph" w:styleId="TOC9">
    <w:name w:val="toc 9"/>
    <w:basedOn w:val="Normal"/>
    <w:next w:val="Normal"/>
    <w:autoRedefine/>
    <w:semiHidden/>
    <w:rsid w:val="00CC535F"/>
    <w:pPr>
      <w:tabs>
        <w:tab w:val="right" w:leader="dot" w:pos="9360"/>
      </w:tabs>
      <w:suppressAutoHyphens/>
      <w:ind w:left="720" w:hanging="720"/>
    </w:pPr>
  </w:style>
  <w:style w:type="paragraph" w:styleId="Index1">
    <w:name w:val="index 1"/>
    <w:basedOn w:val="Normal"/>
    <w:next w:val="Normal"/>
    <w:autoRedefine/>
    <w:semiHidden/>
    <w:rsid w:val="00CC535F"/>
    <w:pPr>
      <w:tabs>
        <w:tab w:val="right" w:leader="dot" w:pos="9360"/>
      </w:tabs>
      <w:suppressAutoHyphens/>
      <w:ind w:left="1440" w:right="720" w:hanging="1440"/>
    </w:pPr>
  </w:style>
  <w:style w:type="paragraph" w:styleId="Index2">
    <w:name w:val="index 2"/>
    <w:basedOn w:val="Normal"/>
    <w:next w:val="Normal"/>
    <w:autoRedefine/>
    <w:semiHidden/>
    <w:rsid w:val="00CC535F"/>
    <w:pPr>
      <w:tabs>
        <w:tab w:val="right" w:leader="dot" w:pos="9360"/>
      </w:tabs>
      <w:suppressAutoHyphens/>
      <w:ind w:left="1440" w:right="720" w:hanging="720"/>
    </w:pPr>
  </w:style>
  <w:style w:type="paragraph" w:styleId="TOAHeading">
    <w:name w:val="toa heading"/>
    <w:basedOn w:val="Normal"/>
    <w:next w:val="Normal"/>
    <w:semiHidden/>
    <w:rsid w:val="00CC535F"/>
    <w:pPr>
      <w:tabs>
        <w:tab w:val="right" w:pos="9360"/>
      </w:tabs>
      <w:suppressAutoHyphens/>
    </w:pPr>
  </w:style>
  <w:style w:type="paragraph" w:styleId="Caption">
    <w:name w:val="caption"/>
    <w:basedOn w:val="Normal"/>
    <w:next w:val="Normal"/>
    <w:qFormat/>
    <w:rsid w:val="00CC535F"/>
    <w:rPr>
      <w:sz w:val="24"/>
    </w:rPr>
  </w:style>
  <w:style w:type="character" w:customStyle="1" w:styleId="EquationCaption">
    <w:name w:val="_Equation Caption"/>
    <w:rsid w:val="00CC535F"/>
  </w:style>
  <w:style w:type="paragraph" w:styleId="BlockText">
    <w:name w:val="Block Text"/>
    <w:basedOn w:val="Normal"/>
    <w:rsid w:val="00CC535F"/>
    <w:pPr>
      <w:tabs>
        <w:tab w:val="left" w:pos="0"/>
        <w:tab w:val="left" w:pos="720"/>
        <w:tab w:val="left" w:pos="1440"/>
      </w:tabs>
      <w:suppressAutoHyphens/>
      <w:ind w:left="1440" w:right="720" w:hanging="1440"/>
    </w:pPr>
    <w:rPr>
      <w:rFonts w:ascii="CG Times" w:hAnsi="CG Times"/>
    </w:rPr>
  </w:style>
  <w:style w:type="paragraph" w:styleId="Title">
    <w:name w:val="Title"/>
    <w:basedOn w:val="Normal"/>
    <w:qFormat/>
    <w:rsid w:val="00CC535F"/>
    <w:pPr>
      <w:suppressAutoHyphens/>
      <w:jc w:val="center"/>
    </w:pPr>
    <w:rPr>
      <w:rFonts w:ascii="Courier New" w:hAnsi="Courier New"/>
      <w:spacing w:val="-2"/>
    </w:rPr>
  </w:style>
  <w:style w:type="paragraph" w:styleId="BodyText">
    <w:name w:val="Body Text"/>
    <w:rsid w:val="00CC535F"/>
    <w:pPr>
      <w:spacing w:after="120"/>
    </w:pPr>
    <w:rPr>
      <w:sz w:val="24"/>
    </w:rPr>
  </w:style>
  <w:style w:type="paragraph" w:customStyle="1" w:styleId="LstBullet">
    <w:name w:val="Lst Bullet"/>
    <w:basedOn w:val="BodyText"/>
    <w:rsid w:val="00CC535F"/>
    <w:pPr>
      <w:numPr>
        <w:numId w:val="2"/>
      </w:num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Montana Legislature</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User</dc:creator>
  <cp:keywords/>
  <dc:description/>
  <cp:lastModifiedBy>Campbell, Elisa</cp:lastModifiedBy>
  <cp:revision>2</cp:revision>
  <cp:lastPrinted>2002-08-29T16:35:00Z</cp:lastPrinted>
  <dcterms:created xsi:type="dcterms:W3CDTF">2022-11-08T03:09:00Z</dcterms:created>
  <dcterms:modified xsi:type="dcterms:W3CDTF">2022-11-08T03:09:00Z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-1304551133</vt:i4>
  </property>
  <property fmtid="{D5CDD505-2E9C-101B-9397-08002B2CF9AE}" pid="3" name="_NewReviewCycle">
    <vt:lpwstr/>
  </property>
  <property fmtid="{D5CDD505-2E9C-101B-9397-08002B2CF9AE}" pid="4" name="_EmailSubject">
    <vt:lpwstr>Bluebook Policy</vt:lpwstr>
  </property>
  <property fmtid="{D5CDD505-2E9C-101B-9397-08002B2CF9AE}" pid="5" name="_AuthorEmail">
    <vt:lpwstr>garretc@mt.gov</vt:lpwstr>
  </property>
  <property fmtid="{D5CDD505-2E9C-101B-9397-08002B2CF9AE}" pid="6" name="_AuthorEmailDisplayName">
    <vt:lpwstr>Carstensen-Garrett J</vt:lpwstr>
  </property>
  <property fmtid="{D5CDD505-2E9C-101B-9397-08002B2CF9AE}" pid="7" name="_PreviousAdHocReviewCycleID">
    <vt:i4>-1304551133</vt:i4>
  </property>
  <property fmtid="{D5CDD505-2E9C-101B-9397-08002B2CF9AE}" pid="8" name="_ReviewingToolsShownOnce">
    <vt:lpwstr/>
  </property>
  <property fmtid="{D5CDD505-2E9C-101B-9397-08002B2CF9AE}" pid="9" name="GrammarlyDocumentId">
    <vt:lpwstr>bb20608cf47e413e2b441200db9b9e748ce1ecb3fce229a19ff9eb1988cfc2c1</vt:lpwstr>
  </property>
</Properties>
</file>